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35" w:rsidRDefault="0063475A" w:rsidP="00EA3035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第六</w:t>
      </w:r>
      <w:r w:rsidR="00E75824">
        <w:rPr>
          <w:rFonts w:ascii="黑体" w:eastAsia="黑体" w:hAnsi="黑体" w:hint="eastAsia"/>
          <w:sz w:val="28"/>
          <w:szCs w:val="28"/>
        </w:rPr>
        <w:t>章</w:t>
      </w:r>
      <w:r w:rsidR="00EA3035">
        <w:rPr>
          <w:rFonts w:ascii="黑体" w:eastAsia="黑体" w:hAnsi="黑体" w:hint="eastAsia"/>
          <w:sz w:val="28"/>
          <w:szCs w:val="28"/>
        </w:rPr>
        <w:t xml:space="preserve">  </w:t>
      </w:r>
      <w:r w:rsidRPr="0063475A">
        <w:rPr>
          <w:rFonts w:ascii="黑体" w:eastAsia="黑体" w:hAnsi="黑体" w:hint="eastAsia"/>
          <w:sz w:val="28"/>
          <w:szCs w:val="28"/>
        </w:rPr>
        <w:t>企业偿债能力分析</w:t>
      </w:r>
    </w:p>
    <w:p w:rsidR="00E75824" w:rsidRDefault="00E75824" w:rsidP="00EA3035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实训案例：</w:t>
      </w:r>
    </w:p>
    <w:p w:rsidR="0063475A" w:rsidRDefault="0063475A" w:rsidP="0063475A">
      <w:pPr>
        <w:ind w:firstLineChars="200" w:firstLine="420"/>
        <w:rPr>
          <w:rFonts w:asciiTheme="minorEastAsia" w:hAnsiTheme="minorEastAsia"/>
          <w:szCs w:val="21"/>
        </w:rPr>
      </w:pPr>
      <w:r w:rsidRPr="0063475A">
        <w:rPr>
          <w:rFonts w:asciiTheme="minorEastAsia" w:hAnsiTheme="minorEastAsia" w:hint="eastAsia"/>
          <w:szCs w:val="21"/>
        </w:rPr>
        <w:t>上海科华生物工程股份有限公司</w:t>
      </w:r>
      <w:r>
        <w:rPr>
          <w:rFonts w:asciiTheme="minorEastAsia" w:hAnsiTheme="minorEastAsia" w:hint="eastAsia"/>
          <w:szCs w:val="21"/>
        </w:rPr>
        <w:t>（简称：“</w:t>
      </w:r>
      <w:r w:rsidRPr="0063475A">
        <w:rPr>
          <w:rFonts w:asciiTheme="minorEastAsia" w:hAnsiTheme="minorEastAsia" w:hint="eastAsia"/>
          <w:szCs w:val="21"/>
        </w:rPr>
        <w:t>科华生物</w:t>
      </w:r>
      <w:r>
        <w:rPr>
          <w:rFonts w:asciiTheme="minorEastAsia" w:hAnsiTheme="minorEastAsia" w:hint="eastAsia"/>
          <w:szCs w:val="21"/>
        </w:rPr>
        <w:t>”，股票代码：002022）</w:t>
      </w:r>
      <w:r w:rsidRPr="0063475A">
        <w:rPr>
          <w:rFonts w:asciiTheme="minorEastAsia" w:hAnsiTheme="minorEastAsia" w:hint="eastAsia"/>
          <w:szCs w:val="21"/>
        </w:rPr>
        <w:t>创立于1981年,</w:t>
      </w:r>
      <w:r>
        <w:rPr>
          <w:rFonts w:asciiTheme="minorEastAsia" w:hAnsiTheme="minorEastAsia" w:hint="eastAsia"/>
          <w:szCs w:val="21"/>
        </w:rPr>
        <w:t>2004年于</w:t>
      </w:r>
      <w:r w:rsidRPr="0063475A">
        <w:rPr>
          <w:rFonts w:asciiTheme="minorEastAsia" w:hAnsiTheme="minorEastAsia" w:hint="eastAsia"/>
          <w:szCs w:val="21"/>
        </w:rPr>
        <w:t>深圳证券交易所</w:t>
      </w:r>
      <w:r>
        <w:rPr>
          <w:rFonts w:asciiTheme="minorEastAsia" w:hAnsiTheme="minorEastAsia" w:hint="eastAsia"/>
          <w:szCs w:val="21"/>
        </w:rPr>
        <w:t>上市，</w:t>
      </w:r>
      <w:r w:rsidRPr="0063475A">
        <w:rPr>
          <w:rFonts w:asciiTheme="minorEastAsia" w:hAnsiTheme="minorEastAsia" w:hint="eastAsia"/>
          <w:szCs w:val="21"/>
        </w:rPr>
        <w:t>是中国规模最大的医疗诊断用品产业基地。</w:t>
      </w:r>
      <w:r>
        <w:rPr>
          <w:rFonts w:asciiTheme="minorEastAsia" w:hAnsiTheme="minorEastAsia" w:hint="eastAsia"/>
          <w:szCs w:val="21"/>
        </w:rPr>
        <w:t>主要经营业务：生化试剂、临床诊断试剂、医疗器械产品、</w:t>
      </w:r>
      <w:r w:rsidRPr="0063475A">
        <w:rPr>
          <w:rFonts w:asciiTheme="minorEastAsia" w:hAnsiTheme="minorEastAsia" w:hint="eastAsia"/>
          <w:szCs w:val="21"/>
        </w:rPr>
        <w:t>对外投资</w:t>
      </w:r>
      <w:r>
        <w:rPr>
          <w:rFonts w:asciiTheme="minorEastAsia" w:hAnsiTheme="minorEastAsia" w:hint="eastAsia"/>
          <w:szCs w:val="21"/>
        </w:rPr>
        <w:t>、</w:t>
      </w:r>
      <w:r w:rsidRPr="0063475A">
        <w:rPr>
          <w:rFonts w:asciiTheme="minorEastAsia" w:hAnsiTheme="minorEastAsia" w:hint="eastAsia"/>
          <w:szCs w:val="21"/>
        </w:rPr>
        <w:t>原辅材料的进口业务</w:t>
      </w:r>
      <w:r>
        <w:rPr>
          <w:rFonts w:asciiTheme="minorEastAsia" w:hAnsiTheme="minorEastAsia" w:hint="eastAsia"/>
          <w:szCs w:val="21"/>
        </w:rPr>
        <w:t>等。科华生物2014年的资产负债表如表6-1所示。其2013年和2014年的现金流量净额分别为：</w:t>
      </w:r>
      <w:r w:rsidRPr="0063475A">
        <w:rPr>
          <w:rFonts w:asciiTheme="minorEastAsia" w:hAnsiTheme="minorEastAsia"/>
          <w:szCs w:val="21"/>
        </w:rPr>
        <w:t xml:space="preserve">474,167,662.89 </w:t>
      </w:r>
      <w:r>
        <w:rPr>
          <w:rFonts w:asciiTheme="minorEastAsia" w:hAnsiTheme="minorEastAsia" w:hint="eastAsia"/>
          <w:szCs w:val="21"/>
        </w:rPr>
        <w:t>元、</w:t>
      </w:r>
      <w:r w:rsidRPr="0063475A">
        <w:rPr>
          <w:rFonts w:asciiTheme="minorEastAsia" w:hAnsiTheme="minorEastAsia"/>
          <w:szCs w:val="21"/>
        </w:rPr>
        <w:t>380,929,707.31</w:t>
      </w:r>
      <w:r>
        <w:rPr>
          <w:rFonts w:asciiTheme="minorEastAsia" w:hAnsiTheme="minorEastAsia" w:hint="eastAsia"/>
          <w:szCs w:val="21"/>
        </w:rPr>
        <w:t>元。</w:t>
      </w:r>
    </w:p>
    <w:p w:rsidR="0063475A" w:rsidRDefault="0063475A" w:rsidP="0063475A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试分析科华生物的短期偿债能力。</w:t>
      </w:r>
    </w:p>
    <w:p w:rsidR="0063475A" w:rsidRDefault="0063475A" w:rsidP="0063475A">
      <w:pPr>
        <w:ind w:firstLineChars="200"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表6-1 科华生物2014年的资产负债表       单位：元</w:t>
      </w:r>
    </w:p>
    <w:tbl>
      <w:tblPr>
        <w:tblW w:w="738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6"/>
        <w:gridCol w:w="2129"/>
        <w:gridCol w:w="2129"/>
      </w:tblGrid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2014年12月31日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2013年12月31日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流动资产：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货币资金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380,929,707.31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474,167,662.89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应收票据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4,465,480.60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5,298,385.00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应收账款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180,214,201.20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139,172,484.86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预付款项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54,706,495.73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70,561,443.85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其他应收款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5,117,279.14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7,775,378.34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存货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279,878,035.10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219,164,170.57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其他流动资产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10,047,827.88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124,591.05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流动资产合计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915,359,026.96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916,264,116.56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非流动资产：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可供出售金融资产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50,100.00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50,100.00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长期应收款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23,073.74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长期股权投资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49,483,071.36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46,408,300.65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投资性房地产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770,023.82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792,109.85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固定资产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255,824,318.56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220,938,544.52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在建工程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24,726,424.65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23,857,306.96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无形资产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64,176,592.70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17,529,898.64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开发支出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45,030,579.48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70,653,845.22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商誉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66,135,230.65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66,135,230.65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长期待摊费用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2,681,808.22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2,571,219.35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递延所得税资产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4,823,185.57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4,979,045.50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非流动资产合计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513,701,335.01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453,938,675.08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资产总计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1,429,060,361.97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1,370,202,791.64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流动负债：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应付账款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75,009,371.08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47,307,602.80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预收款项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16,701,499.27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23,332,549.40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应付职工薪酬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4,584,110.36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15,913,166.35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应交税费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32,172,042.68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43,699,820.71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应付股利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1,937,704.00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其他应付款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22,009,369.54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18,281,804.92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流动负债合计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150,476,392.93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150,472,648.18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非流动负债：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递延收益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10,913,650.00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11,607,050.00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非流动负债合计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10,913,650.00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11,607,050.00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负债合计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161,390,042.93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162,079,698.18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所有者权益：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股本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492,277,500.00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492,277,500.00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资本公积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3,271,076.74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18,551,337.78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盈余公积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149,456,276.33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163,465,604.63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未分配利润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611,736,407.66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457,897,468.60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归属于母公司所有者权益合计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1,256,741,260.73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1,132,191,911.01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少数股东权益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10,929,058.31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75,931,182.45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所有者权益合计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1,267,670,319.04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1,208,123,093.46</w:t>
            </w:r>
          </w:p>
        </w:tc>
      </w:tr>
      <w:tr w:rsidR="0063475A" w:rsidRPr="0063475A" w:rsidTr="0063475A">
        <w:trPr>
          <w:trHeight w:val="270"/>
          <w:jc w:val="center"/>
        </w:trPr>
        <w:tc>
          <w:tcPr>
            <w:tcW w:w="3126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负债和所有者权益总计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1,429,060,361.97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:rsidR="0063475A" w:rsidRPr="0063475A" w:rsidRDefault="0063475A" w:rsidP="0063475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63475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1,370,202,791.64</w:t>
            </w:r>
          </w:p>
        </w:tc>
      </w:tr>
    </w:tbl>
    <w:p w:rsidR="0063475A" w:rsidRDefault="0063475A" w:rsidP="00267B5B">
      <w:pPr>
        <w:ind w:firstLineChars="200" w:firstLine="420"/>
        <w:rPr>
          <w:rFonts w:asciiTheme="minorEastAsia" w:hAnsiTheme="minorEastAsia" w:hint="eastAsia"/>
          <w:szCs w:val="21"/>
        </w:rPr>
      </w:pPr>
    </w:p>
    <w:p w:rsidR="00267B5B" w:rsidRDefault="00267B5B" w:rsidP="00267B5B">
      <w:pPr>
        <w:ind w:firstLineChars="200"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要点：</w:t>
      </w:r>
    </w:p>
    <w:p w:rsidR="00267B5B" w:rsidRDefault="00267B5B" w:rsidP="00267B5B">
      <w:pPr>
        <w:ind w:firstLineChars="200"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1分析该公司的短期偿债能力；</w:t>
      </w:r>
    </w:p>
    <w:p w:rsidR="00267B5B" w:rsidRDefault="00267B5B" w:rsidP="00267B5B">
      <w:pPr>
        <w:ind w:firstLineChars="200"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2.分析该公司的长期偿债能力；</w:t>
      </w:r>
    </w:p>
    <w:p w:rsidR="00267B5B" w:rsidRPr="00267B5B" w:rsidRDefault="00267B5B" w:rsidP="00267B5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3.短期偿债能力和长期偿债能力的分析的不同点。</w:t>
      </w:r>
      <w:bookmarkStart w:id="0" w:name="_GoBack"/>
      <w:bookmarkEnd w:id="0"/>
    </w:p>
    <w:sectPr w:rsidR="00267B5B" w:rsidRPr="00267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66D" w:rsidRDefault="00AC066D" w:rsidP="00267B5B">
      <w:r>
        <w:separator/>
      </w:r>
    </w:p>
  </w:endnote>
  <w:endnote w:type="continuationSeparator" w:id="0">
    <w:p w:rsidR="00AC066D" w:rsidRDefault="00AC066D" w:rsidP="0026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66D" w:rsidRDefault="00AC066D" w:rsidP="00267B5B">
      <w:r>
        <w:separator/>
      </w:r>
    </w:p>
  </w:footnote>
  <w:footnote w:type="continuationSeparator" w:id="0">
    <w:p w:rsidR="00AC066D" w:rsidRDefault="00AC066D" w:rsidP="00267B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12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5912"/>
    <w:rsid w:val="00207900"/>
    <w:rsid w:val="00267B5B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3475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91345"/>
    <w:rsid w:val="00AA1D76"/>
    <w:rsid w:val="00AC02EA"/>
    <w:rsid w:val="00AC066D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75824"/>
    <w:rsid w:val="00E91D7E"/>
    <w:rsid w:val="00EA180A"/>
    <w:rsid w:val="00EA3035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267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267B5B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267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267B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267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267B5B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267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267B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3120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540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21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58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single" w:sz="6" w:space="0" w:color="E0E0E0"/>
                                <w:right w:val="single" w:sz="6" w:space="0" w:color="E0E0E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3</cp:revision>
  <dcterms:created xsi:type="dcterms:W3CDTF">2016-03-17T15:05:00Z</dcterms:created>
  <dcterms:modified xsi:type="dcterms:W3CDTF">2016-05-03T10:34:00Z</dcterms:modified>
</cp:coreProperties>
</file>