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7920"/>
        <w:gridCol w:w="1850"/>
      </w:tblGrid>
      <w:tr w:rsidR="00C72C96" w:rsidRPr="00C72C96" w:rsidTr="00AE581F">
        <w:trPr>
          <w:trHeight w:val="922"/>
        </w:trPr>
        <w:tc>
          <w:tcPr>
            <w:tcW w:w="720" w:type="dxa"/>
            <w:tcBorders>
              <w:top w:val="nil"/>
              <w:left w:val="single" w:sz="4" w:space="0" w:color="auto"/>
              <w:bottom w:val="dotDotDash" w:sz="4" w:space="0" w:color="auto"/>
              <w:right w:val="dotDotDash" w:sz="4" w:space="0" w:color="auto"/>
            </w:tcBorders>
            <w:vAlign w:val="center"/>
          </w:tcPr>
          <w:p w:rsidR="00C72C96" w:rsidRPr="00C72C96" w:rsidRDefault="00C72C96" w:rsidP="00AE581F">
            <w:pPr>
              <w:jc w:val="center"/>
              <w:rPr>
                <w:rFonts w:ascii="黑体" w:eastAsia="黑体" w:hAnsi="黑体"/>
                <w:szCs w:val="21"/>
              </w:rPr>
            </w:pPr>
            <w:r w:rsidRPr="00C72C96">
              <w:rPr>
                <w:rFonts w:ascii="黑体" w:eastAsia="黑体" w:hAnsi="黑体"/>
                <w:szCs w:val="21"/>
              </w:rPr>
              <w:t>教学目标</w:t>
            </w:r>
          </w:p>
        </w:tc>
        <w:tc>
          <w:tcPr>
            <w:tcW w:w="9770" w:type="dxa"/>
            <w:gridSpan w:val="2"/>
            <w:tcBorders>
              <w:top w:val="single" w:sz="4" w:space="0" w:color="auto"/>
              <w:left w:val="dotDotDash" w:sz="4" w:space="0" w:color="auto"/>
              <w:bottom w:val="dotDotDash" w:sz="4" w:space="0" w:color="auto"/>
              <w:right w:val="single" w:sz="4" w:space="0" w:color="auto"/>
            </w:tcBorders>
            <w:vAlign w:val="center"/>
          </w:tcPr>
          <w:p w:rsidR="00C72C96" w:rsidRPr="00C72C96" w:rsidRDefault="00C72C96" w:rsidP="00C72C96">
            <w:pPr>
              <w:rPr>
                <w:rFonts w:ascii="黑体" w:eastAsia="黑体" w:hAnsi="黑体" w:cs="黑体"/>
                <w:szCs w:val="21"/>
              </w:rPr>
            </w:pPr>
            <w:r w:rsidRPr="00C72C96">
              <w:rPr>
                <w:rFonts w:ascii="黑体" w:eastAsia="黑体" w:hAnsi="黑体"/>
                <w:b/>
                <w:bCs/>
                <w:szCs w:val="21"/>
              </w:rPr>
              <w:t>知识目标：</w:t>
            </w:r>
            <w:r w:rsidRPr="00C72C96">
              <w:rPr>
                <w:rFonts w:ascii="黑体" w:eastAsia="黑体" w:hAnsi="黑体" w:cs="黑体" w:hint="eastAsia"/>
                <w:szCs w:val="21"/>
              </w:rPr>
              <w:t>了解营运能力的基本概念；了解营运能力分析的内容和意义。</w:t>
            </w:r>
          </w:p>
          <w:p w:rsidR="00C72C96" w:rsidRPr="00C72C96" w:rsidRDefault="00C72C96" w:rsidP="00C72C96">
            <w:pPr>
              <w:rPr>
                <w:rFonts w:ascii="黑体" w:eastAsia="黑体" w:hAnsi="黑体"/>
                <w:bCs/>
                <w:szCs w:val="21"/>
              </w:rPr>
            </w:pPr>
            <w:r w:rsidRPr="00C72C96">
              <w:rPr>
                <w:rFonts w:ascii="黑体" w:eastAsia="黑体" w:hAnsi="黑体"/>
                <w:b/>
                <w:szCs w:val="21"/>
              </w:rPr>
              <w:t>能力目标：</w:t>
            </w:r>
            <w:r w:rsidRPr="00C72C96">
              <w:rPr>
                <w:rFonts w:ascii="黑体" w:eastAsia="黑体" w:hAnsi="黑体" w:hint="eastAsia"/>
                <w:bCs/>
                <w:szCs w:val="21"/>
              </w:rPr>
              <w:t>掌握流动资产营运能力分析的指标；</w:t>
            </w:r>
            <w:r w:rsidRPr="00C72C96">
              <w:rPr>
                <w:rFonts w:ascii="黑体" w:eastAsia="黑体" w:hAnsi="黑体" w:cs="黑体" w:hint="eastAsia"/>
                <w:bCs/>
                <w:szCs w:val="21"/>
              </w:rPr>
              <w:t>掌握固定资产营运能力分析的指标；掌握总资产营运能力分析的指标</w:t>
            </w:r>
            <w:r w:rsidRPr="00C72C96">
              <w:rPr>
                <w:rFonts w:ascii="黑体" w:eastAsia="黑体" w:hAnsi="黑体" w:hint="eastAsia"/>
                <w:bCs/>
                <w:szCs w:val="21"/>
              </w:rPr>
              <w:t>。</w:t>
            </w:r>
          </w:p>
          <w:p w:rsidR="00C72C96" w:rsidRPr="00C72C96" w:rsidRDefault="00C72C96" w:rsidP="00C72C96">
            <w:pPr>
              <w:rPr>
                <w:rFonts w:ascii="黑体" w:eastAsia="黑体" w:hAnsi="黑体"/>
                <w:bCs/>
                <w:szCs w:val="21"/>
              </w:rPr>
            </w:pPr>
            <w:r w:rsidRPr="00C72C96">
              <w:rPr>
                <w:rFonts w:ascii="黑体" w:eastAsia="黑体" w:hAnsi="黑体"/>
                <w:b/>
                <w:szCs w:val="21"/>
              </w:rPr>
              <w:t>素质目标：</w:t>
            </w:r>
            <w:r w:rsidRPr="00C72C96">
              <w:rPr>
                <w:rFonts w:ascii="黑体" w:eastAsia="黑体" w:hAnsi="黑体"/>
                <w:bCs/>
                <w:szCs w:val="21"/>
              </w:rPr>
              <w:t xml:space="preserve"> </w:t>
            </w:r>
          </w:p>
          <w:p w:rsidR="00C72C96" w:rsidRPr="00C72C96" w:rsidRDefault="00C72C96" w:rsidP="00AE581F">
            <w:pPr>
              <w:rPr>
                <w:rFonts w:ascii="黑体" w:eastAsia="黑体" w:hAnsi="黑体"/>
                <w:bCs/>
                <w:szCs w:val="21"/>
              </w:rPr>
            </w:pPr>
          </w:p>
        </w:tc>
      </w:tr>
      <w:tr w:rsidR="00C72C96" w:rsidRPr="00C72C96" w:rsidTr="00AE581F">
        <w:trPr>
          <w:trHeight w:val="555"/>
        </w:trPr>
        <w:tc>
          <w:tcPr>
            <w:tcW w:w="720" w:type="dxa"/>
            <w:tcBorders>
              <w:top w:val="dotDotDash" w:sz="4" w:space="0" w:color="auto"/>
              <w:left w:val="single" w:sz="4" w:space="0" w:color="auto"/>
              <w:bottom w:val="dotDotDash" w:sz="4" w:space="0" w:color="auto"/>
              <w:right w:val="dotDotDash" w:sz="4" w:space="0" w:color="auto"/>
            </w:tcBorders>
            <w:vAlign w:val="center"/>
          </w:tcPr>
          <w:p w:rsidR="00C72C96" w:rsidRPr="00C72C96" w:rsidRDefault="00C72C96" w:rsidP="00AE581F">
            <w:pPr>
              <w:jc w:val="center"/>
              <w:rPr>
                <w:rFonts w:ascii="黑体" w:eastAsia="黑体" w:hAnsi="黑体"/>
                <w:szCs w:val="21"/>
              </w:rPr>
            </w:pPr>
            <w:r w:rsidRPr="00C72C96">
              <w:rPr>
                <w:rFonts w:ascii="黑体" w:eastAsia="黑体" w:hAnsi="黑体"/>
                <w:szCs w:val="21"/>
              </w:rPr>
              <w:t>教学重点</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C72C96" w:rsidRPr="00C72C96" w:rsidRDefault="00C72C96" w:rsidP="00AE581F">
            <w:pPr>
              <w:spacing w:line="280" w:lineRule="exact"/>
              <w:rPr>
                <w:rFonts w:ascii="黑体" w:eastAsia="黑体" w:hAnsi="黑体"/>
                <w:szCs w:val="21"/>
              </w:rPr>
            </w:pPr>
            <w:r w:rsidRPr="00C72C96">
              <w:rPr>
                <w:rFonts w:ascii="黑体" w:eastAsia="黑体" w:hAnsi="黑体" w:hint="eastAsia"/>
                <w:szCs w:val="21"/>
              </w:rPr>
              <w:t>掌握短期和长期偿债能力分析的方法。</w:t>
            </w:r>
          </w:p>
        </w:tc>
      </w:tr>
      <w:tr w:rsidR="00C72C96" w:rsidRPr="00C72C96" w:rsidTr="00AE581F">
        <w:trPr>
          <w:trHeight w:val="555"/>
        </w:trPr>
        <w:tc>
          <w:tcPr>
            <w:tcW w:w="720" w:type="dxa"/>
            <w:tcBorders>
              <w:top w:val="dotDotDash" w:sz="4" w:space="0" w:color="auto"/>
              <w:left w:val="single" w:sz="4" w:space="0" w:color="auto"/>
              <w:bottom w:val="dotDotDash" w:sz="4" w:space="0" w:color="auto"/>
              <w:right w:val="dotDotDash" w:sz="4" w:space="0" w:color="auto"/>
            </w:tcBorders>
            <w:vAlign w:val="center"/>
          </w:tcPr>
          <w:p w:rsidR="00C72C96" w:rsidRPr="00C72C96" w:rsidRDefault="00C72C96" w:rsidP="00AE581F">
            <w:pPr>
              <w:jc w:val="center"/>
              <w:rPr>
                <w:rFonts w:ascii="黑体" w:eastAsia="黑体" w:hAnsi="黑体"/>
                <w:szCs w:val="21"/>
              </w:rPr>
            </w:pPr>
            <w:r w:rsidRPr="00C72C96">
              <w:rPr>
                <w:rFonts w:ascii="黑体" w:eastAsia="黑体" w:hAnsi="黑体"/>
                <w:szCs w:val="21"/>
              </w:rPr>
              <w:t>教学难点</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C72C96" w:rsidRPr="00C72C96" w:rsidRDefault="00C72C96" w:rsidP="00AE581F">
            <w:pPr>
              <w:spacing w:line="280" w:lineRule="exact"/>
              <w:rPr>
                <w:rFonts w:ascii="黑体" w:eastAsia="黑体" w:hAnsi="黑体"/>
                <w:szCs w:val="21"/>
              </w:rPr>
            </w:pPr>
            <w:r w:rsidRPr="00C72C96">
              <w:rPr>
                <w:rFonts w:ascii="黑体" w:eastAsia="黑体" w:hAnsi="黑体" w:hint="eastAsia"/>
                <w:szCs w:val="21"/>
              </w:rPr>
              <w:t>掌握短期和长期偿债能力分析的方法。</w:t>
            </w:r>
          </w:p>
        </w:tc>
      </w:tr>
      <w:tr w:rsidR="00C72C96" w:rsidRPr="00C72C96" w:rsidTr="00AE581F">
        <w:trPr>
          <w:trHeight w:val="905"/>
        </w:trPr>
        <w:tc>
          <w:tcPr>
            <w:tcW w:w="720" w:type="dxa"/>
            <w:tcBorders>
              <w:top w:val="dotDotDash" w:sz="4" w:space="0" w:color="auto"/>
              <w:left w:val="single" w:sz="4" w:space="0" w:color="auto"/>
              <w:bottom w:val="dotDotDash" w:sz="4" w:space="0" w:color="auto"/>
              <w:right w:val="dotDotDash" w:sz="4" w:space="0" w:color="auto"/>
            </w:tcBorders>
            <w:vAlign w:val="center"/>
          </w:tcPr>
          <w:p w:rsidR="00C72C96" w:rsidRPr="00C72C96" w:rsidRDefault="00C72C96" w:rsidP="00AE581F">
            <w:pPr>
              <w:jc w:val="center"/>
              <w:rPr>
                <w:rFonts w:ascii="黑体" w:eastAsia="黑体" w:hAnsi="黑体"/>
                <w:szCs w:val="21"/>
              </w:rPr>
            </w:pPr>
            <w:r w:rsidRPr="00C72C96">
              <w:rPr>
                <w:rFonts w:ascii="黑体" w:eastAsia="黑体" w:hAnsi="黑体"/>
                <w:szCs w:val="21"/>
              </w:rPr>
              <w:t>教学手段</w:t>
            </w:r>
          </w:p>
        </w:tc>
        <w:tc>
          <w:tcPr>
            <w:tcW w:w="9770" w:type="dxa"/>
            <w:gridSpan w:val="2"/>
            <w:tcBorders>
              <w:top w:val="dotDotDash" w:sz="4" w:space="0" w:color="auto"/>
              <w:left w:val="dotDotDash" w:sz="4" w:space="0" w:color="auto"/>
              <w:bottom w:val="dotDotDash" w:sz="4" w:space="0" w:color="auto"/>
              <w:right w:val="single" w:sz="4" w:space="0" w:color="auto"/>
            </w:tcBorders>
            <w:vAlign w:val="center"/>
          </w:tcPr>
          <w:p w:rsidR="00C72C96" w:rsidRPr="00C72C96" w:rsidRDefault="00C72C96" w:rsidP="00AE581F">
            <w:pPr>
              <w:spacing w:line="280" w:lineRule="exact"/>
              <w:rPr>
                <w:rFonts w:ascii="黑体" w:eastAsia="黑体" w:hAnsi="黑体"/>
                <w:szCs w:val="21"/>
              </w:rPr>
            </w:pPr>
            <w:r w:rsidRPr="00C72C96">
              <w:rPr>
                <w:rFonts w:ascii="黑体" w:eastAsia="黑体" w:hAnsi="黑体" w:hint="eastAsia"/>
                <w:szCs w:val="21"/>
              </w:rPr>
              <w:t>结合理论与案例</w:t>
            </w:r>
          </w:p>
          <w:p w:rsidR="00C72C96" w:rsidRPr="00C72C96" w:rsidRDefault="00C72C96" w:rsidP="00AE581F">
            <w:pPr>
              <w:spacing w:line="280" w:lineRule="exact"/>
              <w:rPr>
                <w:rFonts w:ascii="黑体" w:eastAsia="黑体" w:hAnsi="黑体"/>
                <w:szCs w:val="21"/>
              </w:rPr>
            </w:pPr>
            <w:r w:rsidRPr="00C72C96">
              <w:rPr>
                <w:rFonts w:ascii="黑体" w:eastAsia="黑体" w:hAnsi="黑体"/>
                <w:szCs w:val="21"/>
              </w:rPr>
              <w:t>小组讨论</w:t>
            </w:r>
          </w:p>
        </w:tc>
      </w:tr>
      <w:tr w:rsidR="00C72C96" w:rsidRPr="00C72C96" w:rsidTr="00AE581F">
        <w:trPr>
          <w:trHeight w:val="779"/>
        </w:trPr>
        <w:tc>
          <w:tcPr>
            <w:tcW w:w="720" w:type="dxa"/>
            <w:tcBorders>
              <w:top w:val="dotDotDash" w:sz="4" w:space="0" w:color="auto"/>
              <w:left w:val="single" w:sz="4" w:space="0" w:color="auto"/>
              <w:bottom w:val="single" w:sz="4" w:space="0" w:color="auto"/>
              <w:right w:val="dotDotDash" w:sz="4" w:space="0" w:color="auto"/>
            </w:tcBorders>
            <w:vAlign w:val="center"/>
          </w:tcPr>
          <w:p w:rsidR="00C72C96" w:rsidRPr="00C72C96" w:rsidRDefault="00C72C96" w:rsidP="00AE581F">
            <w:pPr>
              <w:jc w:val="center"/>
              <w:rPr>
                <w:rFonts w:ascii="黑体" w:eastAsia="黑体" w:hAnsi="黑体"/>
                <w:szCs w:val="21"/>
              </w:rPr>
            </w:pPr>
            <w:r w:rsidRPr="00C72C96">
              <w:rPr>
                <w:rFonts w:ascii="黑体" w:eastAsia="黑体" w:hAnsi="黑体"/>
                <w:szCs w:val="21"/>
              </w:rPr>
              <w:t>教学学时</w:t>
            </w:r>
          </w:p>
        </w:tc>
        <w:tc>
          <w:tcPr>
            <w:tcW w:w="9770" w:type="dxa"/>
            <w:gridSpan w:val="2"/>
            <w:tcBorders>
              <w:top w:val="dotDotDash" w:sz="4" w:space="0" w:color="auto"/>
              <w:left w:val="dotDotDash" w:sz="4" w:space="0" w:color="auto"/>
              <w:bottom w:val="single" w:sz="4" w:space="0" w:color="auto"/>
              <w:right w:val="single" w:sz="4" w:space="0" w:color="auto"/>
            </w:tcBorders>
            <w:vAlign w:val="center"/>
          </w:tcPr>
          <w:p w:rsidR="00C72C96" w:rsidRPr="00C72C96" w:rsidRDefault="00C72C96" w:rsidP="00AE581F">
            <w:pPr>
              <w:spacing w:line="280" w:lineRule="exact"/>
              <w:rPr>
                <w:rFonts w:ascii="黑体" w:eastAsia="黑体" w:hAnsi="黑体"/>
                <w:szCs w:val="21"/>
              </w:rPr>
            </w:pPr>
            <w:r w:rsidRPr="00C72C96">
              <w:rPr>
                <w:rFonts w:ascii="黑体" w:eastAsia="黑体" w:hAnsi="黑体" w:hint="eastAsia"/>
                <w:szCs w:val="21"/>
              </w:rPr>
              <w:t>2课时</w:t>
            </w:r>
          </w:p>
        </w:tc>
      </w:tr>
      <w:tr w:rsidR="00C72C96" w:rsidRPr="00C72C96" w:rsidTr="00AE581F">
        <w:trPr>
          <w:trHeight w:val="349"/>
        </w:trPr>
        <w:tc>
          <w:tcPr>
            <w:tcW w:w="8640" w:type="dxa"/>
            <w:gridSpan w:val="2"/>
            <w:tcBorders>
              <w:top w:val="single" w:sz="4" w:space="0" w:color="auto"/>
              <w:left w:val="single" w:sz="4" w:space="0" w:color="auto"/>
              <w:bottom w:val="dotDotDash" w:sz="4" w:space="0" w:color="auto"/>
              <w:right w:val="dotDotDash" w:sz="4" w:space="0" w:color="auto"/>
            </w:tcBorders>
            <w:vAlign w:val="center"/>
          </w:tcPr>
          <w:p w:rsidR="00C72C96" w:rsidRPr="00C72C96" w:rsidRDefault="00C72C96" w:rsidP="00AE581F">
            <w:pPr>
              <w:jc w:val="center"/>
              <w:rPr>
                <w:rFonts w:ascii="黑体" w:eastAsia="黑体" w:hAnsi="黑体"/>
                <w:szCs w:val="21"/>
              </w:rPr>
            </w:pPr>
            <w:r w:rsidRPr="00C72C96">
              <w:rPr>
                <w:rFonts w:ascii="黑体" w:eastAsia="黑体" w:hAnsi="黑体"/>
                <w:szCs w:val="21"/>
              </w:rPr>
              <w:t>教  学  内  容  与  教  学  过  程  设  计</w:t>
            </w:r>
          </w:p>
        </w:tc>
        <w:tc>
          <w:tcPr>
            <w:tcW w:w="1850" w:type="dxa"/>
            <w:tcBorders>
              <w:top w:val="single" w:sz="4" w:space="0" w:color="auto"/>
              <w:left w:val="dotDotDash" w:sz="4" w:space="0" w:color="auto"/>
              <w:bottom w:val="dotDotDash" w:sz="4" w:space="0" w:color="auto"/>
              <w:right w:val="single" w:sz="4" w:space="0" w:color="auto"/>
            </w:tcBorders>
            <w:vAlign w:val="center"/>
          </w:tcPr>
          <w:p w:rsidR="00C72C96" w:rsidRPr="00C72C96" w:rsidRDefault="00C72C96" w:rsidP="00AE581F">
            <w:pPr>
              <w:jc w:val="center"/>
              <w:rPr>
                <w:rFonts w:ascii="黑体" w:eastAsia="黑体" w:hAnsi="黑体"/>
                <w:szCs w:val="21"/>
              </w:rPr>
            </w:pPr>
            <w:r w:rsidRPr="00C72C96">
              <w:rPr>
                <w:rFonts w:ascii="黑体" w:eastAsia="黑体" w:hAnsi="黑体"/>
                <w:szCs w:val="21"/>
              </w:rPr>
              <w:t>注    释</w:t>
            </w:r>
          </w:p>
        </w:tc>
      </w:tr>
      <w:tr w:rsidR="00C72C96" w:rsidRPr="00C72C96" w:rsidTr="00AE581F">
        <w:trPr>
          <w:trHeight w:val="7172"/>
        </w:trPr>
        <w:tc>
          <w:tcPr>
            <w:tcW w:w="8640" w:type="dxa"/>
            <w:gridSpan w:val="2"/>
            <w:tcBorders>
              <w:top w:val="dotDotDash" w:sz="4" w:space="0" w:color="auto"/>
              <w:left w:val="single" w:sz="4" w:space="0" w:color="auto"/>
              <w:bottom w:val="single" w:sz="4" w:space="0" w:color="auto"/>
              <w:right w:val="dotDotDash" w:sz="4" w:space="0" w:color="auto"/>
            </w:tcBorders>
          </w:tcPr>
          <w:p w:rsidR="00C72C96" w:rsidRPr="00C72C96" w:rsidRDefault="00C72C96" w:rsidP="00C72C96">
            <w:pPr>
              <w:widowControl/>
              <w:spacing w:before="240" w:after="60"/>
              <w:jc w:val="center"/>
              <w:outlineLvl w:val="0"/>
              <w:rPr>
                <w:rFonts w:ascii="黑体" w:eastAsia="黑体" w:hAnsi="黑体"/>
                <w:szCs w:val="21"/>
              </w:rPr>
            </w:pPr>
            <w:bookmarkStart w:id="0" w:name="_Toc438036936"/>
            <w:bookmarkEnd w:id="0"/>
            <w:r w:rsidRPr="00C72C96">
              <w:rPr>
                <w:rFonts w:ascii="黑体" w:eastAsia="黑体" w:hAnsi="黑体" w:hint="eastAsia"/>
                <w:szCs w:val="21"/>
              </w:rPr>
              <w:t>第八章 企业营运能力分析</w:t>
            </w:r>
          </w:p>
          <w:p w:rsidR="00C72C96" w:rsidRPr="00C72C96" w:rsidRDefault="00C72C96" w:rsidP="00C72C96">
            <w:pPr>
              <w:spacing w:line="300" w:lineRule="auto"/>
              <w:ind w:firstLineChars="205" w:firstLine="430"/>
              <w:jc w:val="center"/>
              <w:rPr>
                <w:rFonts w:ascii="黑体" w:eastAsia="黑体" w:hAnsi="黑体"/>
                <w:szCs w:val="21"/>
              </w:rPr>
            </w:pPr>
          </w:p>
          <w:p w:rsidR="00C72C96" w:rsidRPr="00C72C96" w:rsidRDefault="00C72C96" w:rsidP="00AE581F">
            <w:pPr>
              <w:spacing w:line="300" w:lineRule="auto"/>
              <w:ind w:firstLineChars="205" w:firstLine="432"/>
              <w:rPr>
                <w:rFonts w:ascii="黑体" w:eastAsia="黑体" w:hAnsi="黑体"/>
                <w:b/>
                <w:szCs w:val="21"/>
              </w:rPr>
            </w:pPr>
            <w:r w:rsidRPr="00C72C96">
              <w:rPr>
                <w:rFonts w:ascii="黑体" w:eastAsia="黑体" w:hAnsi="黑体"/>
                <w:b/>
                <w:szCs w:val="21"/>
              </w:rPr>
              <w:t>〖</w:t>
            </w:r>
            <w:r w:rsidRPr="00C72C96">
              <w:rPr>
                <w:rFonts w:ascii="黑体" w:eastAsia="黑体" w:hAnsi="黑体" w:hint="eastAsia"/>
                <w:b/>
                <w:szCs w:val="21"/>
              </w:rPr>
              <w:t>理论知识</w:t>
            </w:r>
            <w:r w:rsidRPr="00C72C96">
              <w:rPr>
                <w:rFonts w:ascii="黑体" w:eastAsia="黑体" w:hAnsi="黑体"/>
                <w:b/>
                <w:szCs w:val="21"/>
              </w:rPr>
              <w:t>〗</w:t>
            </w:r>
          </w:p>
          <w:p w:rsidR="00C72C96" w:rsidRPr="00C72C96" w:rsidRDefault="00C72C96" w:rsidP="00C72C96">
            <w:pPr>
              <w:jc w:val="center"/>
              <w:rPr>
                <w:rFonts w:ascii="黑体" w:eastAsia="黑体" w:hAnsi="黑体"/>
                <w:b/>
                <w:bCs/>
                <w:szCs w:val="21"/>
              </w:rPr>
            </w:pPr>
            <w:r w:rsidRPr="00C72C96">
              <w:rPr>
                <w:rFonts w:ascii="黑体" w:eastAsia="黑体" w:hAnsi="黑体" w:hint="eastAsia"/>
                <w:b/>
                <w:szCs w:val="21"/>
              </w:rPr>
              <w:t xml:space="preserve">    </w:t>
            </w:r>
            <w:r w:rsidRPr="00C72C96">
              <w:rPr>
                <w:rFonts w:ascii="黑体" w:eastAsia="黑体" w:hAnsi="黑体" w:hint="eastAsia"/>
                <w:b/>
                <w:bCs/>
                <w:szCs w:val="21"/>
              </w:rPr>
              <w:t>第一节</w:t>
            </w:r>
            <w:r w:rsidRPr="00C72C96">
              <w:rPr>
                <w:rFonts w:ascii="黑体" w:eastAsia="黑体" w:hAnsi="黑体"/>
                <w:b/>
                <w:bCs/>
                <w:szCs w:val="21"/>
              </w:rPr>
              <w:t xml:space="preserve">  </w:t>
            </w:r>
            <w:r w:rsidRPr="00C72C96">
              <w:rPr>
                <w:rFonts w:ascii="黑体" w:eastAsia="黑体" w:hAnsi="黑体" w:hint="eastAsia"/>
                <w:b/>
                <w:bCs/>
                <w:szCs w:val="21"/>
              </w:rPr>
              <w:t>企业营运能力分析概述</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营运能力主要是指企业资产管理方面的效率。营运能力分析主要是通过计算企业资产周转的速度来衡量企业的经营管理效率，它包括流动资产营运能力分析、固定资产营运能力分析和总资产营运能力分析。</w:t>
            </w:r>
          </w:p>
          <w:p w:rsidR="00C72C96" w:rsidRPr="00C72C96" w:rsidRDefault="00C72C96" w:rsidP="00C72C96">
            <w:pPr>
              <w:keepNext/>
              <w:widowControl/>
              <w:snapToGrid w:val="0"/>
              <w:spacing w:line="412" w:lineRule="auto"/>
              <w:ind w:left="422"/>
              <w:outlineLvl w:val="1"/>
              <w:rPr>
                <w:rFonts w:ascii="黑体" w:eastAsia="黑体" w:hAnsi="黑体" w:cs="微软雅黑"/>
                <w:b/>
                <w:bCs/>
                <w:szCs w:val="21"/>
              </w:rPr>
            </w:pPr>
            <w:bookmarkStart w:id="1" w:name="_Toc438036938"/>
            <w:bookmarkEnd w:id="1"/>
            <w:r w:rsidRPr="00C72C96">
              <w:rPr>
                <w:rFonts w:ascii="黑体" w:eastAsia="黑体" w:hAnsi="黑体" w:hint="eastAsia"/>
                <w:b/>
                <w:bCs/>
                <w:szCs w:val="21"/>
              </w:rPr>
              <w:t>一、营运能力分析的内容</w:t>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t>企业营运能力分析由人力资源营运能力分析和生产资料营运能力分析两部分组成。从财务报表分析来看，对企业营运能力进行分析时，则注重对生产资料营运能力的分析。</w:t>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t>而生产资料的营运能力实际上就是企业的总资产及其各个组成要素的营运能力，资产营运能力的强弱关键取决于资产的周转速度。</w:t>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t>评价企业营运能力常用的财务比率有流动资产周转率、固定资产周转率、总资产周转率等。</w:t>
            </w:r>
          </w:p>
          <w:p w:rsidR="00C72C96" w:rsidRPr="00C72C96" w:rsidRDefault="00C72C96" w:rsidP="00C72C96">
            <w:pPr>
              <w:keepNext/>
              <w:widowControl/>
              <w:snapToGrid w:val="0"/>
              <w:spacing w:line="412" w:lineRule="auto"/>
              <w:ind w:firstLineChars="196" w:firstLine="413"/>
              <w:outlineLvl w:val="1"/>
              <w:rPr>
                <w:rFonts w:ascii="黑体" w:eastAsia="黑体" w:hAnsi="黑体" w:cs="微软雅黑"/>
                <w:b/>
                <w:bCs/>
                <w:szCs w:val="21"/>
              </w:rPr>
            </w:pPr>
            <w:bookmarkStart w:id="2" w:name="_Toc438036939"/>
            <w:bookmarkEnd w:id="2"/>
            <w:r w:rsidRPr="00C72C96">
              <w:rPr>
                <w:rFonts w:ascii="黑体" w:eastAsia="黑体" w:hAnsi="黑体" w:hint="eastAsia"/>
                <w:b/>
                <w:bCs/>
                <w:szCs w:val="21"/>
              </w:rPr>
              <w:t>二、营运能力分析的意义</w:t>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t>（</w:t>
            </w:r>
            <w:r w:rsidRPr="00C72C96">
              <w:rPr>
                <w:rFonts w:ascii="黑体" w:eastAsia="黑体" w:hAnsi="黑体"/>
                <w:szCs w:val="21"/>
              </w:rPr>
              <w:t>1</w:t>
            </w:r>
            <w:r w:rsidRPr="00C72C96">
              <w:rPr>
                <w:rFonts w:ascii="黑体" w:eastAsia="黑体" w:hAnsi="黑体" w:hint="eastAsia"/>
                <w:szCs w:val="21"/>
              </w:rPr>
              <w:t>）对企业经营管理者来说，有助于改善经营管理。</w:t>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t>（</w:t>
            </w:r>
            <w:r w:rsidRPr="00C72C96">
              <w:rPr>
                <w:rFonts w:ascii="黑体" w:eastAsia="黑体" w:hAnsi="黑体"/>
                <w:szCs w:val="21"/>
              </w:rPr>
              <w:t>2</w:t>
            </w:r>
            <w:r w:rsidRPr="00C72C96">
              <w:rPr>
                <w:rFonts w:ascii="黑体" w:eastAsia="黑体" w:hAnsi="黑体" w:hint="eastAsia"/>
                <w:szCs w:val="21"/>
              </w:rPr>
              <w:t>）对投资者来说，有助于进行投资决策。</w:t>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t>（</w:t>
            </w:r>
            <w:r w:rsidRPr="00C72C96">
              <w:rPr>
                <w:rFonts w:ascii="黑体" w:eastAsia="黑体" w:hAnsi="黑体"/>
                <w:szCs w:val="21"/>
              </w:rPr>
              <w:t>3</w:t>
            </w:r>
            <w:r w:rsidRPr="00C72C96">
              <w:rPr>
                <w:rFonts w:ascii="黑体" w:eastAsia="黑体" w:hAnsi="黑体" w:hint="eastAsia"/>
                <w:szCs w:val="21"/>
              </w:rPr>
              <w:t>）对债权人来说，有助于进行信贷决策。</w:t>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t>（</w:t>
            </w:r>
            <w:r w:rsidRPr="00C72C96">
              <w:rPr>
                <w:rFonts w:ascii="黑体" w:eastAsia="黑体" w:hAnsi="黑体"/>
                <w:szCs w:val="21"/>
              </w:rPr>
              <w:t>4</w:t>
            </w:r>
            <w:r w:rsidRPr="00C72C96">
              <w:rPr>
                <w:rFonts w:ascii="黑体" w:eastAsia="黑体" w:hAnsi="黑体" w:hint="eastAsia"/>
                <w:szCs w:val="21"/>
              </w:rPr>
              <w:t>）对政府及相关部门来说，有助于进行管理和控制。</w:t>
            </w:r>
          </w:p>
          <w:p w:rsidR="00C72C96" w:rsidRPr="00C72C96" w:rsidRDefault="00C72C96" w:rsidP="00C72C96">
            <w:pPr>
              <w:jc w:val="center"/>
              <w:rPr>
                <w:rFonts w:ascii="黑体" w:eastAsia="黑体" w:hAnsi="黑体"/>
                <w:b/>
                <w:bCs/>
                <w:szCs w:val="21"/>
              </w:rPr>
            </w:pPr>
            <w:bookmarkStart w:id="3" w:name="_Toc438036940"/>
            <w:bookmarkEnd w:id="3"/>
            <w:r w:rsidRPr="00C72C96">
              <w:rPr>
                <w:rFonts w:ascii="黑体" w:eastAsia="黑体" w:hAnsi="黑体" w:hint="eastAsia"/>
                <w:b/>
                <w:bCs/>
                <w:szCs w:val="21"/>
              </w:rPr>
              <w:t xml:space="preserve"> </w:t>
            </w:r>
          </w:p>
          <w:p w:rsidR="00C72C96" w:rsidRPr="00C72C96" w:rsidRDefault="00C72C96" w:rsidP="00C72C96">
            <w:pPr>
              <w:jc w:val="center"/>
              <w:rPr>
                <w:rFonts w:ascii="黑体" w:eastAsia="黑体" w:hAnsi="黑体"/>
                <w:b/>
                <w:bCs/>
                <w:szCs w:val="21"/>
              </w:rPr>
            </w:pPr>
            <w:r w:rsidRPr="00C72C96">
              <w:rPr>
                <w:rFonts w:ascii="黑体" w:eastAsia="黑体" w:hAnsi="黑体" w:hint="eastAsia"/>
                <w:b/>
                <w:bCs/>
                <w:szCs w:val="21"/>
              </w:rPr>
              <w:t>第二节</w:t>
            </w:r>
            <w:r w:rsidRPr="00C72C96">
              <w:rPr>
                <w:rFonts w:ascii="黑体" w:eastAsia="黑体" w:hAnsi="黑体"/>
                <w:b/>
                <w:bCs/>
                <w:szCs w:val="21"/>
              </w:rPr>
              <w:t xml:space="preserve">  </w:t>
            </w:r>
            <w:r w:rsidRPr="00C72C96">
              <w:rPr>
                <w:rFonts w:ascii="黑体" w:eastAsia="黑体" w:hAnsi="黑体" w:hint="eastAsia"/>
                <w:b/>
                <w:bCs/>
                <w:szCs w:val="21"/>
              </w:rPr>
              <w:t>流动资产营运能力分析及指标</w:t>
            </w:r>
          </w:p>
          <w:p w:rsidR="00C72C96" w:rsidRPr="00C72C96" w:rsidRDefault="00C72C96" w:rsidP="00C72C96">
            <w:pPr>
              <w:keepNext/>
              <w:widowControl/>
              <w:snapToGrid w:val="0"/>
              <w:spacing w:line="412" w:lineRule="auto"/>
              <w:ind w:firstLineChars="200" w:firstLine="422"/>
              <w:outlineLvl w:val="1"/>
              <w:rPr>
                <w:rFonts w:ascii="黑体" w:eastAsia="黑体" w:hAnsi="黑体" w:cs="微软雅黑"/>
                <w:b/>
                <w:bCs/>
                <w:szCs w:val="21"/>
              </w:rPr>
            </w:pPr>
            <w:bookmarkStart w:id="4" w:name="_Toc438036941"/>
            <w:bookmarkEnd w:id="4"/>
            <w:r w:rsidRPr="00C72C96">
              <w:rPr>
                <w:rFonts w:ascii="黑体" w:eastAsia="黑体" w:hAnsi="黑体" w:hint="eastAsia"/>
                <w:b/>
                <w:bCs/>
                <w:szCs w:val="21"/>
              </w:rPr>
              <w:t>一、应收账款营运能力</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1.应收账款周转率</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应收账款周转率是企业一定时期内赊销销售收入净额与应收账款平均余额的比率。其计算公式如下：</w:t>
            </w:r>
          </w:p>
          <w:p w:rsidR="00C72C96" w:rsidRPr="00C72C96" w:rsidRDefault="00C72C96" w:rsidP="00C72C96">
            <w:pPr>
              <w:snapToGrid w:val="0"/>
              <w:jc w:val="center"/>
              <w:rPr>
                <w:rFonts w:ascii="黑体" w:eastAsia="黑体" w:hAnsi="黑体"/>
                <w:szCs w:val="21"/>
              </w:rPr>
            </w:pPr>
            <w:r w:rsidRPr="00C72C96">
              <w:rPr>
                <w:rFonts w:ascii="黑体" w:eastAsia="黑体" w:hAnsi="黑体"/>
                <w:noProof/>
                <w:szCs w:val="21"/>
              </w:rPr>
              <w:lastRenderedPageBreak/>
              <w:drawing>
                <wp:inline distT="0" distB="0" distL="0" distR="0">
                  <wp:extent cx="2172970" cy="403860"/>
                  <wp:effectExtent l="19050" t="0" r="0" b="0"/>
                  <wp:docPr id="1" name="图片 1" descr="C:\Users\ADMINI~1\AppData\Local\Temp\ksohtml\wps38B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ksohtml\wps38B4.tmp.jpg"/>
                          <pic:cNvPicPr>
                            <a:picLocks noChangeAspect="1" noChangeArrowheads="1"/>
                          </pic:cNvPicPr>
                        </pic:nvPicPr>
                        <pic:blipFill>
                          <a:blip r:embed="rId5"/>
                          <a:srcRect/>
                          <a:stretch>
                            <a:fillRect/>
                          </a:stretch>
                        </pic:blipFill>
                        <pic:spPr bwMode="auto">
                          <a:xfrm>
                            <a:off x="0" y="0"/>
                            <a:ext cx="2172970" cy="403860"/>
                          </a:xfrm>
                          <a:prstGeom prst="rect">
                            <a:avLst/>
                          </a:prstGeom>
                          <a:noFill/>
                          <a:ln w="9525">
                            <a:noFill/>
                            <a:miter lim="800000"/>
                            <a:headEnd/>
                            <a:tailEnd/>
                          </a:ln>
                        </pic:spPr>
                      </pic:pic>
                    </a:graphicData>
                  </a:graphic>
                </wp:inline>
              </w:drawing>
            </w:r>
            <w:r w:rsidRPr="00C72C96">
              <w:rPr>
                <w:rFonts w:ascii="黑体" w:eastAsia="黑体" w:hAnsi="黑体" w:hint="eastAsia"/>
                <w:szCs w:val="21"/>
              </w:rPr>
              <w:t xml:space="preserve"> </w:t>
            </w:r>
          </w:p>
          <w:p w:rsidR="00C72C96" w:rsidRPr="00C72C96" w:rsidRDefault="00C72C96" w:rsidP="00C72C96">
            <w:pPr>
              <w:snapToGrid w:val="0"/>
              <w:rPr>
                <w:rFonts w:ascii="黑体" w:eastAsia="黑体" w:hAnsi="黑体"/>
                <w:szCs w:val="21"/>
              </w:rPr>
            </w:pPr>
            <w:r w:rsidRPr="00C72C96">
              <w:rPr>
                <w:rFonts w:ascii="黑体" w:eastAsia="黑体" w:hAnsi="黑体" w:hint="eastAsia"/>
                <w:szCs w:val="21"/>
              </w:rPr>
              <w:t xml:space="preserve"> </w:t>
            </w:r>
          </w:p>
          <w:p w:rsidR="00C72C96" w:rsidRPr="00C72C96" w:rsidRDefault="00C72C96" w:rsidP="00C72C96">
            <w:pPr>
              <w:snapToGrid w:val="0"/>
              <w:rPr>
                <w:rFonts w:ascii="黑体" w:eastAsia="黑体" w:hAnsi="黑体"/>
                <w:szCs w:val="21"/>
              </w:rPr>
            </w:pPr>
            <w:r w:rsidRPr="00C72C96">
              <w:rPr>
                <w:rFonts w:ascii="黑体" w:eastAsia="黑体" w:hAnsi="黑体" w:hint="eastAsia"/>
                <w:szCs w:val="21"/>
              </w:rPr>
              <w:t>其中：</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noProof/>
                <w:szCs w:val="21"/>
              </w:rPr>
              <w:drawing>
                <wp:inline distT="0" distB="0" distL="0" distR="0">
                  <wp:extent cx="3004185" cy="344170"/>
                  <wp:effectExtent l="19050" t="0" r="5715" b="0"/>
                  <wp:docPr id="2" name="图片 2" descr="C:\Users\ADMINI~1\AppData\Local\Temp\ksohtml\wps38B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ksohtml\wps38B5.tmp.jpg"/>
                          <pic:cNvPicPr>
                            <a:picLocks noChangeAspect="1" noChangeArrowheads="1"/>
                          </pic:cNvPicPr>
                        </pic:nvPicPr>
                        <pic:blipFill>
                          <a:blip r:embed="rId6"/>
                          <a:srcRect/>
                          <a:stretch>
                            <a:fillRect/>
                          </a:stretch>
                        </pic:blipFill>
                        <pic:spPr bwMode="auto">
                          <a:xfrm>
                            <a:off x="0" y="0"/>
                            <a:ext cx="3004185" cy="344170"/>
                          </a:xfrm>
                          <a:prstGeom prst="rect">
                            <a:avLst/>
                          </a:prstGeom>
                          <a:noFill/>
                          <a:ln w="9525">
                            <a:noFill/>
                            <a:miter lim="800000"/>
                            <a:headEnd/>
                            <a:tailEnd/>
                          </a:ln>
                        </pic:spPr>
                      </pic:pic>
                    </a:graphicData>
                  </a:graphic>
                </wp:inline>
              </w:drawing>
            </w:r>
            <w:r w:rsidRPr="00C72C96">
              <w:rPr>
                <w:rFonts w:ascii="黑体" w:eastAsia="黑体" w:hAnsi="黑体" w:hint="eastAsia"/>
                <w:szCs w:val="21"/>
              </w:rPr>
              <w:t xml:space="preserve"> </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应收账款周转率表明1年中应收账款周转的次数，或者说明每1元应收账款投资支持的销售收入。应收账款周转率越高，说明企业回收应收账款速度越快，可以减少坏账损失。相反，应收账款周转率太低会导致占用资金数量过多，影响正常周转。</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例8-1：A公司在2X07有关应收账款数据如表8-2所示。</w:t>
            </w:r>
          </w:p>
          <w:p w:rsidR="00C72C96" w:rsidRPr="00C72C96" w:rsidRDefault="00C72C96" w:rsidP="00C72C96">
            <w:pPr>
              <w:snapToGrid w:val="0"/>
              <w:ind w:firstLineChars="200" w:firstLine="420"/>
              <w:jc w:val="center"/>
              <w:rPr>
                <w:rFonts w:ascii="黑体" w:eastAsia="黑体" w:hAnsi="黑体"/>
                <w:szCs w:val="21"/>
              </w:rPr>
            </w:pPr>
            <w:r w:rsidRPr="00C72C96">
              <w:rPr>
                <w:rFonts w:ascii="黑体" w:eastAsia="黑体" w:hAnsi="黑体" w:hint="eastAsia"/>
                <w:szCs w:val="21"/>
              </w:rPr>
              <w:t xml:space="preserve">                </w:t>
            </w:r>
          </w:p>
          <w:p w:rsidR="00C72C96" w:rsidRPr="00C72C96" w:rsidRDefault="00C72C96" w:rsidP="00C72C96">
            <w:pPr>
              <w:snapToGrid w:val="0"/>
              <w:ind w:firstLineChars="1150" w:firstLine="2415"/>
              <w:jc w:val="left"/>
              <w:rPr>
                <w:rFonts w:ascii="黑体" w:eastAsia="黑体" w:hAnsi="黑体"/>
                <w:szCs w:val="21"/>
              </w:rPr>
            </w:pPr>
            <w:r w:rsidRPr="00C72C96">
              <w:rPr>
                <w:rFonts w:ascii="黑体" w:eastAsia="黑体" w:hAnsi="黑体" w:hint="eastAsia"/>
                <w:szCs w:val="21"/>
              </w:rPr>
              <w:t>表8-2 A公司财务数据</w:t>
            </w:r>
          </w:p>
          <w:p w:rsidR="00C72C96" w:rsidRPr="00C72C96" w:rsidRDefault="00C72C96" w:rsidP="00C72C96">
            <w:pPr>
              <w:snapToGrid w:val="0"/>
              <w:jc w:val="left"/>
              <w:rPr>
                <w:rFonts w:ascii="黑体" w:eastAsia="黑体" w:hAnsi="黑体"/>
                <w:szCs w:val="21"/>
              </w:rPr>
            </w:pPr>
            <w:r w:rsidRPr="00C72C96">
              <w:rPr>
                <w:rFonts w:ascii="黑体" w:eastAsia="黑体" w:hAnsi="黑体" w:hint="eastAsia"/>
                <w:szCs w:val="21"/>
              </w:rPr>
              <w:t xml:space="preserve"> </w:t>
            </w:r>
          </w:p>
          <w:tbl>
            <w:tblPr>
              <w:tblStyle w:val="af0"/>
              <w:tblW w:w="4138" w:type="dxa"/>
              <w:tblInd w:w="135" w:type="dxa"/>
              <w:tblLayout w:type="fixed"/>
              <w:tblLook w:val="04A0"/>
            </w:tblPr>
            <w:tblGrid>
              <w:gridCol w:w="2600"/>
              <w:gridCol w:w="1538"/>
            </w:tblGrid>
            <w:tr w:rsidR="00C72C96" w:rsidRPr="00C72C96" w:rsidTr="00AE581F">
              <w:trPr>
                <w:trHeight w:val="395"/>
              </w:trPr>
              <w:tc>
                <w:tcPr>
                  <w:tcW w:w="2600"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项目</w:t>
                  </w:r>
                </w:p>
              </w:tc>
              <w:tc>
                <w:tcPr>
                  <w:tcW w:w="1538" w:type="dxa"/>
                  <w:tcBorders>
                    <w:top w:val="single" w:sz="4" w:space="0" w:color="auto"/>
                    <w:left w:val="nil"/>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2X07年</w:t>
                  </w:r>
                </w:p>
              </w:tc>
            </w:tr>
            <w:tr w:rsidR="00C72C96" w:rsidRPr="00C72C96" w:rsidTr="00AE581F">
              <w:trPr>
                <w:trHeight w:val="395"/>
              </w:trPr>
              <w:tc>
                <w:tcPr>
                  <w:tcW w:w="2600"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赊销收入净额（万元）</w:t>
                  </w:r>
                </w:p>
              </w:tc>
              <w:tc>
                <w:tcPr>
                  <w:tcW w:w="1538" w:type="dxa"/>
                  <w:tcBorders>
                    <w:top w:val="single" w:sz="4" w:space="0" w:color="auto"/>
                    <w:left w:val="nil"/>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9000</w:t>
                  </w:r>
                </w:p>
              </w:tc>
            </w:tr>
            <w:tr w:rsidR="00C72C96" w:rsidRPr="00C72C96" w:rsidTr="00AE581F">
              <w:trPr>
                <w:trHeight w:val="410"/>
              </w:trPr>
              <w:tc>
                <w:tcPr>
                  <w:tcW w:w="2600"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应收账款期初额（万元）</w:t>
                  </w:r>
                </w:p>
              </w:tc>
              <w:tc>
                <w:tcPr>
                  <w:tcW w:w="1538" w:type="dxa"/>
                  <w:tcBorders>
                    <w:top w:val="single" w:sz="4" w:space="0" w:color="auto"/>
                    <w:left w:val="nil"/>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500</w:t>
                  </w:r>
                </w:p>
              </w:tc>
            </w:tr>
            <w:tr w:rsidR="00C72C96" w:rsidRPr="00C72C96" w:rsidTr="00AE581F">
              <w:trPr>
                <w:trHeight w:val="395"/>
              </w:trPr>
              <w:tc>
                <w:tcPr>
                  <w:tcW w:w="2600"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应收账款期末额（万元）</w:t>
                  </w:r>
                </w:p>
              </w:tc>
              <w:tc>
                <w:tcPr>
                  <w:tcW w:w="1538" w:type="dxa"/>
                  <w:tcBorders>
                    <w:top w:val="single" w:sz="4" w:space="0" w:color="auto"/>
                    <w:left w:val="nil"/>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700</w:t>
                  </w:r>
                </w:p>
              </w:tc>
            </w:tr>
          </w:tbl>
          <w:p w:rsidR="00C72C96" w:rsidRPr="00C72C96" w:rsidRDefault="00C72C96" w:rsidP="00C72C96">
            <w:pPr>
              <w:snapToGrid w:val="0"/>
              <w:ind w:firstLineChars="1150" w:firstLine="2415"/>
              <w:jc w:val="left"/>
              <w:rPr>
                <w:rFonts w:ascii="黑体" w:eastAsia="黑体" w:hAnsi="黑体"/>
                <w:szCs w:val="21"/>
              </w:rPr>
            </w:pPr>
            <w:r w:rsidRPr="00C72C96">
              <w:rPr>
                <w:rFonts w:ascii="黑体" w:eastAsia="黑体" w:hAnsi="黑体" w:hint="eastAsia"/>
                <w:szCs w:val="21"/>
              </w:rPr>
              <w:t xml:space="preserve"> </w:t>
            </w:r>
          </w:p>
          <w:p w:rsidR="00C72C96" w:rsidRPr="00C72C96" w:rsidRDefault="00C72C96" w:rsidP="00C72C96">
            <w:pPr>
              <w:snapToGrid w:val="0"/>
              <w:ind w:firstLineChars="1150" w:firstLine="2415"/>
              <w:jc w:val="left"/>
              <w:rPr>
                <w:rFonts w:ascii="黑体" w:eastAsia="黑体" w:hAnsi="黑体"/>
                <w:szCs w:val="21"/>
              </w:rPr>
            </w:pPr>
            <w:r w:rsidRPr="00C72C96">
              <w:rPr>
                <w:rFonts w:ascii="黑体" w:eastAsia="黑体" w:hAnsi="黑体" w:hint="eastAsia"/>
                <w:szCs w:val="21"/>
              </w:rPr>
              <w:t xml:space="preserve"> </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 xml:space="preserve"> </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 xml:space="preserve"> </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 xml:space="preserve"> </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 xml:space="preserve"> </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 xml:space="preserve"> </w:t>
            </w:r>
          </w:p>
          <w:p w:rsidR="00C72C96" w:rsidRPr="00C72C96" w:rsidRDefault="00C72C96" w:rsidP="00C72C96">
            <w:pPr>
              <w:snapToGrid w:val="0"/>
              <w:ind w:firstLineChars="250" w:firstLine="525"/>
              <w:rPr>
                <w:rFonts w:ascii="黑体" w:eastAsia="黑体" w:hAnsi="黑体"/>
                <w:szCs w:val="21"/>
              </w:rPr>
            </w:pPr>
            <w:r w:rsidRPr="00C72C96">
              <w:rPr>
                <w:rFonts w:ascii="黑体" w:eastAsia="黑体" w:hAnsi="黑体" w:hint="eastAsia"/>
                <w:szCs w:val="21"/>
              </w:rPr>
              <w:t>根据上述公式与数据，我们计算A公司的应收账款周转率为：</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noProof/>
                <w:szCs w:val="21"/>
              </w:rPr>
              <w:drawing>
                <wp:inline distT="0" distB="0" distL="0" distR="0">
                  <wp:extent cx="2766695" cy="308610"/>
                  <wp:effectExtent l="19050" t="0" r="0" b="0"/>
                  <wp:docPr id="3" name="图片 3" descr="C:\Users\ADMINI~1\AppData\Local\Temp\ksohtml\wps38C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ksohtml\wps38C5.tmp.jpg"/>
                          <pic:cNvPicPr>
                            <a:picLocks noChangeAspect="1" noChangeArrowheads="1"/>
                          </pic:cNvPicPr>
                        </pic:nvPicPr>
                        <pic:blipFill>
                          <a:blip r:embed="rId7"/>
                          <a:srcRect/>
                          <a:stretch>
                            <a:fillRect/>
                          </a:stretch>
                        </pic:blipFill>
                        <pic:spPr bwMode="auto">
                          <a:xfrm>
                            <a:off x="0" y="0"/>
                            <a:ext cx="2766695" cy="308610"/>
                          </a:xfrm>
                          <a:prstGeom prst="rect">
                            <a:avLst/>
                          </a:prstGeom>
                          <a:noFill/>
                          <a:ln w="9525">
                            <a:noFill/>
                            <a:miter lim="800000"/>
                            <a:headEnd/>
                            <a:tailEnd/>
                          </a:ln>
                        </pic:spPr>
                      </pic:pic>
                    </a:graphicData>
                  </a:graphic>
                </wp:inline>
              </w:drawing>
            </w:r>
            <w:r w:rsidRPr="00C72C96">
              <w:rPr>
                <w:rFonts w:ascii="黑体" w:eastAsia="黑体" w:hAnsi="黑体" w:hint="eastAsia"/>
                <w:szCs w:val="21"/>
              </w:rPr>
              <w:t xml:space="preserve"> </w:t>
            </w:r>
          </w:p>
          <w:p w:rsidR="00C72C96" w:rsidRPr="00C72C96" w:rsidRDefault="00C72C96" w:rsidP="00C72C96">
            <w:pPr>
              <w:snapToGrid w:val="0"/>
              <w:rPr>
                <w:rFonts w:ascii="黑体" w:eastAsia="黑体" w:hAnsi="黑体"/>
                <w:szCs w:val="21"/>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2125980" cy="308610"/>
                  <wp:effectExtent l="19050" t="0" r="7620" b="0"/>
                  <wp:docPr id="4" name="图片 4" descr="C:\Users\ADMINI~1\AppData\Local\Temp\ksohtml\wps38C6.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1\AppData\Local\Temp\ksohtml\wps38C6.tmp.jpg"/>
                          <pic:cNvPicPr>
                            <a:picLocks noChangeAspect="1" noChangeArrowheads="1"/>
                          </pic:cNvPicPr>
                        </pic:nvPicPr>
                        <pic:blipFill>
                          <a:blip r:embed="rId8"/>
                          <a:srcRect/>
                          <a:stretch>
                            <a:fillRect/>
                          </a:stretch>
                        </pic:blipFill>
                        <pic:spPr bwMode="auto">
                          <a:xfrm>
                            <a:off x="0" y="0"/>
                            <a:ext cx="2125980" cy="308610"/>
                          </a:xfrm>
                          <a:prstGeom prst="rect">
                            <a:avLst/>
                          </a:prstGeom>
                          <a:noFill/>
                          <a:ln w="9525">
                            <a:noFill/>
                            <a:miter lim="800000"/>
                            <a:headEnd/>
                            <a:tailEnd/>
                          </a:ln>
                        </pic:spPr>
                      </pic:pic>
                    </a:graphicData>
                  </a:graphic>
                </wp:inline>
              </w:drawing>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2.应收账款周转天数</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应收账款周转天数也称为应收</w:t>
            </w:r>
            <w:proofErr w:type="gramStart"/>
            <w:r w:rsidRPr="00C72C96">
              <w:rPr>
                <w:rFonts w:ascii="黑体" w:eastAsia="黑体" w:hAnsi="黑体" w:hint="eastAsia"/>
                <w:szCs w:val="21"/>
              </w:rPr>
              <w:t>账款收现期</w:t>
            </w:r>
            <w:proofErr w:type="gramEnd"/>
            <w:r w:rsidRPr="00C72C96">
              <w:rPr>
                <w:rFonts w:ascii="黑体" w:eastAsia="黑体" w:hAnsi="黑体" w:hint="eastAsia"/>
                <w:szCs w:val="21"/>
              </w:rPr>
              <w:t>。其计算公式如下：</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noProof/>
                <w:szCs w:val="21"/>
              </w:rPr>
              <w:drawing>
                <wp:inline distT="0" distB="0" distL="0" distR="0">
                  <wp:extent cx="3788410" cy="403860"/>
                  <wp:effectExtent l="19050" t="0" r="2540" b="0"/>
                  <wp:docPr id="5" name="图片 5" descr="C:\Users\ADMINI~1\AppData\Local\Temp\ksohtml\wps38C7.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1\AppData\Local\Temp\ksohtml\wps38C7.tmp.jpg"/>
                          <pic:cNvPicPr>
                            <a:picLocks noChangeAspect="1" noChangeArrowheads="1"/>
                          </pic:cNvPicPr>
                        </pic:nvPicPr>
                        <pic:blipFill>
                          <a:blip r:embed="rId9"/>
                          <a:srcRect/>
                          <a:stretch>
                            <a:fillRect/>
                          </a:stretch>
                        </pic:blipFill>
                        <pic:spPr bwMode="auto">
                          <a:xfrm>
                            <a:off x="0" y="0"/>
                            <a:ext cx="3788410" cy="403860"/>
                          </a:xfrm>
                          <a:prstGeom prst="rect">
                            <a:avLst/>
                          </a:prstGeom>
                          <a:noFill/>
                          <a:ln w="9525">
                            <a:noFill/>
                            <a:miter lim="800000"/>
                            <a:headEnd/>
                            <a:tailEnd/>
                          </a:ln>
                        </pic:spPr>
                      </pic:pic>
                    </a:graphicData>
                  </a:graphic>
                </wp:inline>
              </w:drawing>
            </w:r>
            <w:r w:rsidRPr="00C72C96">
              <w:rPr>
                <w:rFonts w:ascii="黑体" w:eastAsia="黑体" w:hAnsi="黑体" w:hint="eastAsia"/>
                <w:szCs w:val="21"/>
              </w:rPr>
              <w:t xml:space="preserve"> </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应收账款周转天数表明从销售开始到收回现金平均需要的天数。应收账款周转天数越短，说明企业应收账款的周转速度越快。</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根据例8-1数据，我们可以计算出A公司的应收账款周转天数如下：</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noProof/>
                <w:szCs w:val="21"/>
              </w:rPr>
              <w:drawing>
                <wp:inline distT="0" distB="0" distL="0" distR="0">
                  <wp:extent cx="3134995" cy="308610"/>
                  <wp:effectExtent l="19050" t="0" r="8255" b="0"/>
                  <wp:docPr id="6" name="图片 6" descr="C:\Users\ADMINI~1\AppData\Local\Temp\ksohtml\wps38D8.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1\AppData\Local\Temp\ksohtml\wps38D8.tmp.jpg"/>
                          <pic:cNvPicPr>
                            <a:picLocks noChangeAspect="1" noChangeArrowheads="1"/>
                          </pic:cNvPicPr>
                        </pic:nvPicPr>
                        <pic:blipFill>
                          <a:blip r:embed="rId10"/>
                          <a:srcRect/>
                          <a:stretch>
                            <a:fillRect/>
                          </a:stretch>
                        </pic:blipFill>
                        <pic:spPr bwMode="auto">
                          <a:xfrm>
                            <a:off x="0" y="0"/>
                            <a:ext cx="3134995" cy="308610"/>
                          </a:xfrm>
                          <a:prstGeom prst="rect">
                            <a:avLst/>
                          </a:prstGeom>
                          <a:noFill/>
                          <a:ln w="9525">
                            <a:noFill/>
                            <a:miter lim="800000"/>
                            <a:headEnd/>
                            <a:tailEnd/>
                          </a:ln>
                        </pic:spPr>
                      </pic:pic>
                    </a:graphicData>
                  </a:graphic>
                </wp:inline>
              </w:drawing>
            </w:r>
            <w:r w:rsidRPr="00C72C96">
              <w:rPr>
                <w:rFonts w:ascii="黑体" w:eastAsia="黑体" w:hAnsi="黑体" w:hint="eastAsia"/>
                <w:szCs w:val="21"/>
              </w:rPr>
              <w:t xml:space="preserve"> </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结合上面计算出的应收账款周转率，我们可以知道A公司在一年内的应收账款周转次数为15次，说明每1元应收账款所支持的销售收入为15元。应收账款周转天数说明，这一年内每一次周转的平均天数为24.33天。应收账款平均收现天数为24.33天，相对来说，这是个应收账款周转效率比较高的企业。</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3.在计算和使用应收账款周转率时应注意的问题</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1）赊销销售收入的比例问题。从理论上讲，由于应收账款是赊销引起的，故其对应的流量是赊销额，而非全部销售收入。因此，计算时应使用赊销额而非销售收入。但是，在实际工作中，外部分析人员无法有效取得赊销数据，只能使用销售收入代替赊销收入进行计算。但是只要现销与赊销的比例保持稳定，并不妨碍与上期数据进行比较的有效性，只是这样做的后果会导致周转次数的高估。当与其他企业比较时，由于不知道可比企业的赊销比例，也就无从指导应收账款周转率是否可行。</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lastRenderedPageBreak/>
              <w:t>（2）应收账款年末余额的可靠性问题。应收账款是特定时点的存量，容易受季节性、偶然性和人为因素的影响。在用应收账款周转率进行业绩评价时，可以使用年初和年末的平均数，或者使用多个时点的平均数，以减少这些因素带来的影响。</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（3）应收账款周转天数指标评价问题。应收账款是赊销引起的，如果赊销对企业的盈利发展情况比现</w:t>
            </w:r>
            <w:proofErr w:type="gramStart"/>
            <w:r w:rsidRPr="00C72C96">
              <w:rPr>
                <w:rFonts w:ascii="黑体" w:eastAsia="黑体" w:hAnsi="黑体" w:hint="eastAsia"/>
                <w:szCs w:val="21"/>
              </w:rPr>
              <w:t>销更为</w:t>
            </w:r>
            <w:proofErr w:type="gramEnd"/>
            <w:r w:rsidRPr="00C72C96">
              <w:rPr>
                <w:rFonts w:ascii="黑体" w:eastAsia="黑体" w:hAnsi="黑体" w:hint="eastAsia"/>
                <w:szCs w:val="21"/>
              </w:rPr>
              <w:t>有利，那么周转天数并不是越少越好。</w:t>
            </w:r>
          </w:p>
          <w:p w:rsidR="00C72C96" w:rsidRPr="00C72C96" w:rsidRDefault="00C72C96" w:rsidP="00C72C96">
            <w:pPr>
              <w:keepNext/>
              <w:widowControl/>
              <w:snapToGrid w:val="0"/>
              <w:spacing w:line="412" w:lineRule="auto"/>
              <w:ind w:firstLineChars="200" w:firstLine="422"/>
              <w:outlineLvl w:val="1"/>
              <w:rPr>
                <w:rFonts w:ascii="黑体" w:eastAsia="黑体" w:hAnsi="黑体" w:cs="微软雅黑"/>
                <w:b/>
                <w:bCs/>
                <w:szCs w:val="21"/>
              </w:rPr>
            </w:pPr>
            <w:bookmarkStart w:id="5" w:name="_Toc438036942"/>
            <w:bookmarkEnd w:id="5"/>
            <w:r w:rsidRPr="00C72C96">
              <w:rPr>
                <w:rFonts w:ascii="黑体" w:eastAsia="黑体" w:hAnsi="黑体" w:hint="eastAsia"/>
                <w:b/>
                <w:bCs/>
                <w:szCs w:val="21"/>
              </w:rPr>
              <w:t>二、存货营运能力</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1.存货周转率</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存货周转率是企业一定时期内销售成本（销售收入）与平均存货余额的比率。它可以反映企业存货变现能力和销货能力。其计算公式为：</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2968625" cy="403860"/>
                  <wp:effectExtent l="19050" t="0" r="3175" b="0"/>
                  <wp:docPr id="7" name="图片 7" descr="C:\Users\ADMINI~1\AppData\Local\Temp\ksohtml\wps38D9.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I~1\AppData\Local\Temp\ksohtml\wps38D9.tmp.jpg"/>
                          <pic:cNvPicPr>
                            <a:picLocks noChangeAspect="1" noChangeArrowheads="1"/>
                          </pic:cNvPicPr>
                        </pic:nvPicPr>
                        <pic:blipFill>
                          <a:blip r:embed="rId11"/>
                          <a:srcRect/>
                          <a:stretch>
                            <a:fillRect/>
                          </a:stretch>
                        </pic:blipFill>
                        <pic:spPr bwMode="auto">
                          <a:xfrm>
                            <a:off x="0" y="0"/>
                            <a:ext cx="2968625" cy="403860"/>
                          </a:xfrm>
                          <a:prstGeom prst="rect">
                            <a:avLst/>
                          </a:prstGeom>
                          <a:noFill/>
                          <a:ln w="9525">
                            <a:noFill/>
                            <a:miter lim="800000"/>
                            <a:headEnd/>
                            <a:tailEnd/>
                          </a:ln>
                        </pic:spPr>
                      </pic:pic>
                    </a:graphicData>
                  </a:graphic>
                </wp:inline>
              </w:drawing>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其中：</w:t>
            </w:r>
          </w:p>
          <w:p w:rsidR="00C72C96" w:rsidRPr="00C72C96" w:rsidRDefault="00C72C96" w:rsidP="00C72C96">
            <w:pPr>
              <w:snapToGrid w:val="0"/>
              <w:ind w:firstLineChars="200" w:firstLine="420"/>
              <w:jc w:val="center"/>
              <w:rPr>
                <w:rFonts w:ascii="黑体" w:eastAsia="黑体" w:hAnsi="黑体"/>
                <w:szCs w:val="21"/>
              </w:rPr>
            </w:pPr>
            <w:r w:rsidRPr="00C72C96">
              <w:rPr>
                <w:rFonts w:ascii="黑体" w:eastAsia="黑体" w:hAnsi="黑体"/>
                <w:noProof/>
                <w:szCs w:val="21"/>
              </w:rPr>
              <w:drawing>
                <wp:inline distT="0" distB="0" distL="0" distR="0">
                  <wp:extent cx="2731135" cy="344170"/>
                  <wp:effectExtent l="19050" t="0" r="0" b="0"/>
                  <wp:docPr id="8" name="图片 8" descr="C:\Users\ADMINI~1\AppData\Local\Temp\ksohtml\wps38DA.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1\AppData\Local\Temp\ksohtml\wps38DA.tmp.jpg"/>
                          <pic:cNvPicPr>
                            <a:picLocks noChangeAspect="1" noChangeArrowheads="1"/>
                          </pic:cNvPicPr>
                        </pic:nvPicPr>
                        <pic:blipFill>
                          <a:blip r:embed="rId12"/>
                          <a:srcRect/>
                          <a:stretch>
                            <a:fillRect/>
                          </a:stretch>
                        </pic:blipFill>
                        <pic:spPr bwMode="auto">
                          <a:xfrm>
                            <a:off x="0" y="0"/>
                            <a:ext cx="2731135" cy="344170"/>
                          </a:xfrm>
                          <a:prstGeom prst="rect">
                            <a:avLst/>
                          </a:prstGeom>
                          <a:noFill/>
                          <a:ln w="9525">
                            <a:noFill/>
                            <a:miter lim="800000"/>
                            <a:headEnd/>
                            <a:tailEnd/>
                          </a:ln>
                        </pic:spPr>
                      </pic:pic>
                    </a:graphicData>
                  </a:graphic>
                </wp:inline>
              </w:drawing>
            </w:r>
            <w:r w:rsidRPr="00C72C96">
              <w:rPr>
                <w:rFonts w:ascii="黑体" w:eastAsia="黑体" w:hAnsi="黑体" w:hint="eastAsia"/>
                <w:szCs w:val="21"/>
              </w:rPr>
              <w:t xml:space="preserve"> </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2.存货周转天数</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存货周转天数表明存货周转一次需要的时间，也就是存货转换成现金平均需要的时间。其计算公式为：</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1638935" cy="368300"/>
                  <wp:effectExtent l="19050" t="0" r="0" b="0"/>
                  <wp:docPr id="9" name="图片 9" descr="C:\Users\ADMINI~1\AppData\Local\Temp\ksohtml\wps38DB.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1\AppData\Local\Temp\ksohtml\wps38DB.tmp.jpg"/>
                          <pic:cNvPicPr>
                            <a:picLocks noChangeAspect="1" noChangeArrowheads="1"/>
                          </pic:cNvPicPr>
                        </pic:nvPicPr>
                        <pic:blipFill>
                          <a:blip r:embed="rId13"/>
                          <a:srcRect/>
                          <a:stretch>
                            <a:fillRect/>
                          </a:stretch>
                        </pic:blipFill>
                        <pic:spPr bwMode="auto">
                          <a:xfrm>
                            <a:off x="0" y="0"/>
                            <a:ext cx="1638935" cy="368300"/>
                          </a:xfrm>
                          <a:prstGeom prst="rect">
                            <a:avLst/>
                          </a:prstGeom>
                          <a:noFill/>
                          <a:ln w="9525">
                            <a:noFill/>
                            <a:miter lim="800000"/>
                            <a:headEnd/>
                            <a:tailEnd/>
                          </a:ln>
                        </pic:spPr>
                      </pic:pic>
                    </a:graphicData>
                  </a:graphic>
                </wp:inline>
              </w:drawing>
            </w:r>
          </w:p>
          <w:p w:rsidR="00C72C96" w:rsidRPr="00C72C96" w:rsidRDefault="00C72C96" w:rsidP="00C72C96">
            <w:pPr>
              <w:snapToGrid w:val="0"/>
              <w:ind w:firstLineChars="200" w:firstLine="420"/>
              <w:jc w:val="left"/>
              <w:rPr>
                <w:rFonts w:ascii="黑体" w:eastAsia="黑体" w:hAnsi="黑体"/>
                <w:szCs w:val="21"/>
              </w:rPr>
            </w:pPr>
            <w:r w:rsidRPr="00C72C96">
              <w:rPr>
                <w:rFonts w:ascii="黑体" w:eastAsia="黑体" w:hAnsi="黑体" w:hint="eastAsia"/>
                <w:szCs w:val="21"/>
              </w:rPr>
              <w:t>在正常经营情况下，存货周转率越高，说明存货周转速度越快，销售成本占用资金少。反之，则存货周转率低，说明库存商品占用大量资金，销售状况不好。</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例8-2：B公司的有关财务报表数据如表8-3所示。</w:t>
            </w:r>
          </w:p>
          <w:p w:rsidR="00C72C96" w:rsidRPr="00C72C96" w:rsidRDefault="00C72C96" w:rsidP="00C72C96">
            <w:pPr>
              <w:snapToGrid w:val="0"/>
              <w:ind w:firstLineChars="200" w:firstLine="420"/>
              <w:jc w:val="center"/>
              <w:rPr>
                <w:rFonts w:ascii="黑体" w:eastAsia="黑体" w:hAnsi="黑体"/>
                <w:szCs w:val="21"/>
              </w:rPr>
            </w:pPr>
            <w:r w:rsidRPr="00C72C96">
              <w:rPr>
                <w:rFonts w:ascii="黑体" w:eastAsia="黑体" w:hAnsi="黑体" w:hint="eastAsia"/>
                <w:szCs w:val="21"/>
              </w:rPr>
              <w:t>表8-3 B公司财务数据</w:t>
            </w:r>
          </w:p>
          <w:tbl>
            <w:tblPr>
              <w:tblStyle w:val="af0"/>
              <w:tblW w:w="5530" w:type="dxa"/>
              <w:tblInd w:w="1383" w:type="dxa"/>
              <w:tblLayout w:type="fixed"/>
              <w:tblLook w:val="04A0"/>
            </w:tblPr>
            <w:tblGrid>
              <w:gridCol w:w="2765"/>
              <w:gridCol w:w="2765"/>
            </w:tblGrid>
            <w:tr w:rsidR="00C72C96" w:rsidRPr="00C72C96" w:rsidTr="00AE581F">
              <w:tc>
                <w:tcPr>
                  <w:tcW w:w="2765"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项目</w:t>
                  </w:r>
                </w:p>
              </w:tc>
              <w:tc>
                <w:tcPr>
                  <w:tcW w:w="2765" w:type="dxa"/>
                  <w:tcBorders>
                    <w:top w:val="single" w:sz="4" w:space="0" w:color="auto"/>
                    <w:left w:val="nil"/>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2X08年</w:t>
                  </w:r>
                </w:p>
              </w:tc>
            </w:tr>
            <w:tr w:rsidR="00C72C96" w:rsidRPr="00C72C96" w:rsidTr="00AE581F">
              <w:tc>
                <w:tcPr>
                  <w:tcW w:w="2765"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销售成本（万元）</w:t>
                  </w:r>
                </w:p>
              </w:tc>
              <w:tc>
                <w:tcPr>
                  <w:tcW w:w="2765" w:type="dxa"/>
                  <w:tcBorders>
                    <w:top w:val="single" w:sz="4" w:space="0" w:color="auto"/>
                    <w:left w:val="nil"/>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92910</w:t>
                  </w:r>
                </w:p>
              </w:tc>
            </w:tr>
            <w:tr w:rsidR="00C72C96" w:rsidRPr="00C72C96" w:rsidTr="00AE581F">
              <w:tc>
                <w:tcPr>
                  <w:tcW w:w="2765"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存货期初余额（万元）</w:t>
                  </w:r>
                </w:p>
              </w:tc>
              <w:tc>
                <w:tcPr>
                  <w:tcW w:w="2765" w:type="dxa"/>
                  <w:tcBorders>
                    <w:top w:val="single" w:sz="4" w:space="0" w:color="auto"/>
                    <w:left w:val="nil"/>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21000</w:t>
                  </w:r>
                </w:p>
              </w:tc>
            </w:tr>
            <w:tr w:rsidR="00C72C96" w:rsidRPr="00C72C96" w:rsidTr="00AE581F">
              <w:tc>
                <w:tcPr>
                  <w:tcW w:w="2765"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存货期末余额（万元）</w:t>
                  </w:r>
                </w:p>
              </w:tc>
              <w:tc>
                <w:tcPr>
                  <w:tcW w:w="2765" w:type="dxa"/>
                  <w:tcBorders>
                    <w:top w:val="single" w:sz="4" w:space="0" w:color="auto"/>
                    <w:left w:val="nil"/>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35120</w:t>
                  </w:r>
                </w:p>
              </w:tc>
            </w:tr>
            <w:tr w:rsidR="00C72C96" w:rsidRPr="00C72C96" w:rsidTr="00AE581F">
              <w:tc>
                <w:tcPr>
                  <w:tcW w:w="2765"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存货平均余额（万元）</w:t>
                  </w:r>
                </w:p>
              </w:tc>
              <w:tc>
                <w:tcPr>
                  <w:tcW w:w="2765" w:type="dxa"/>
                  <w:tcBorders>
                    <w:top w:val="single" w:sz="4" w:space="0" w:color="auto"/>
                    <w:left w:val="nil"/>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28060</w:t>
                  </w:r>
                </w:p>
              </w:tc>
            </w:tr>
          </w:tbl>
          <w:p w:rsidR="00C72C96" w:rsidRPr="00C72C96" w:rsidRDefault="00C72C96" w:rsidP="00C72C96">
            <w:pPr>
              <w:snapToGrid w:val="0"/>
              <w:ind w:firstLineChars="200" w:firstLine="420"/>
              <w:jc w:val="left"/>
              <w:rPr>
                <w:rFonts w:ascii="黑体" w:eastAsia="黑体" w:hAnsi="黑体"/>
                <w:szCs w:val="21"/>
              </w:rPr>
            </w:pPr>
            <w:r w:rsidRPr="00C72C96">
              <w:rPr>
                <w:rFonts w:ascii="黑体" w:eastAsia="黑体" w:hAnsi="黑体" w:hint="eastAsia"/>
                <w:szCs w:val="21"/>
              </w:rPr>
              <w:t>根据上述公式与数据，我们可以计算出B公司2X08年的存货周转率为：</w:t>
            </w:r>
          </w:p>
          <w:p w:rsidR="00C72C96" w:rsidRPr="00C72C96" w:rsidRDefault="00C72C96" w:rsidP="00C72C96">
            <w:pPr>
              <w:snapToGrid w:val="0"/>
              <w:ind w:firstLineChars="200" w:firstLine="420"/>
              <w:jc w:val="left"/>
              <w:rPr>
                <w:rFonts w:ascii="黑体" w:eastAsia="黑体" w:hAnsi="黑体"/>
                <w:szCs w:val="21"/>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2945130" cy="308610"/>
                  <wp:effectExtent l="19050" t="0" r="7620" b="0"/>
                  <wp:docPr id="10" name="图片 10" descr="C:\Users\ADMINI~1\AppData\Local\Temp\ksohtml\wps38E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DMINI~1\AppData\Local\Temp\ksohtml\wps38EC.tmp.jpg"/>
                          <pic:cNvPicPr>
                            <a:picLocks noChangeAspect="1" noChangeArrowheads="1"/>
                          </pic:cNvPicPr>
                        </pic:nvPicPr>
                        <pic:blipFill>
                          <a:blip r:embed="rId14"/>
                          <a:srcRect/>
                          <a:stretch>
                            <a:fillRect/>
                          </a:stretch>
                        </pic:blipFill>
                        <pic:spPr bwMode="auto">
                          <a:xfrm>
                            <a:off x="0" y="0"/>
                            <a:ext cx="2945130" cy="308610"/>
                          </a:xfrm>
                          <a:prstGeom prst="rect">
                            <a:avLst/>
                          </a:prstGeom>
                          <a:noFill/>
                          <a:ln w="9525">
                            <a:noFill/>
                            <a:miter lim="800000"/>
                            <a:headEnd/>
                            <a:tailEnd/>
                          </a:ln>
                        </pic:spPr>
                      </pic:pic>
                    </a:graphicData>
                  </a:graphic>
                </wp:inline>
              </w:drawing>
            </w:r>
          </w:p>
          <w:p w:rsidR="00C72C96" w:rsidRPr="00C72C96" w:rsidRDefault="00C72C96" w:rsidP="00C72C96">
            <w:pPr>
              <w:snapToGrid w:val="0"/>
              <w:ind w:firstLineChars="200" w:firstLine="420"/>
              <w:jc w:val="left"/>
              <w:rPr>
                <w:rFonts w:ascii="黑体" w:eastAsia="黑体" w:hAnsi="黑体"/>
                <w:szCs w:val="21"/>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2030730" cy="308610"/>
                  <wp:effectExtent l="19050" t="0" r="7620" b="0"/>
                  <wp:docPr id="11" name="图片 11" descr="C:\Users\ADMINI~1\AppData\Local\Temp\ksohtml\wps38E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I~1\AppData\Local\Temp\ksohtml\wps38ED.tmp.jpg"/>
                          <pic:cNvPicPr>
                            <a:picLocks noChangeAspect="1" noChangeArrowheads="1"/>
                          </pic:cNvPicPr>
                        </pic:nvPicPr>
                        <pic:blipFill>
                          <a:blip r:embed="rId15"/>
                          <a:srcRect/>
                          <a:stretch>
                            <a:fillRect/>
                          </a:stretch>
                        </pic:blipFill>
                        <pic:spPr bwMode="auto">
                          <a:xfrm>
                            <a:off x="0" y="0"/>
                            <a:ext cx="2030730" cy="308610"/>
                          </a:xfrm>
                          <a:prstGeom prst="rect">
                            <a:avLst/>
                          </a:prstGeom>
                          <a:noFill/>
                          <a:ln w="9525">
                            <a:noFill/>
                            <a:miter lim="800000"/>
                            <a:headEnd/>
                            <a:tailEnd/>
                          </a:ln>
                        </pic:spPr>
                      </pic:pic>
                    </a:graphicData>
                  </a:graphic>
                </wp:inline>
              </w:drawing>
            </w:r>
          </w:p>
          <w:p w:rsidR="00C72C96" w:rsidRPr="00C72C96" w:rsidRDefault="00C72C96" w:rsidP="00C72C96">
            <w:pPr>
              <w:snapToGrid w:val="0"/>
              <w:ind w:firstLineChars="200" w:firstLine="420"/>
              <w:jc w:val="left"/>
              <w:rPr>
                <w:rFonts w:ascii="黑体" w:eastAsia="黑体" w:hAnsi="黑体"/>
                <w:szCs w:val="21"/>
              </w:rPr>
            </w:pPr>
            <w:r w:rsidRPr="00C72C96">
              <w:rPr>
                <w:rFonts w:ascii="黑体" w:eastAsia="黑体" w:hAnsi="黑体" w:hint="eastAsia"/>
                <w:szCs w:val="21"/>
              </w:rPr>
              <w:t xml:space="preserve"> </w:t>
            </w:r>
          </w:p>
          <w:p w:rsidR="00C72C96" w:rsidRPr="00C72C96" w:rsidRDefault="00C72C96" w:rsidP="00C72C96">
            <w:pPr>
              <w:snapToGrid w:val="0"/>
              <w:ind w:firstLineChars="200" w:firstLine="420"/>
              <w:jc w:val="left"/>
              <w:rPr>
                <w:rFonts w:ascii="黑体" w:eastAsia="黑体" w:hAnsi="黑体"/>
                <w:szCs w:val="21"/>
              </w:rPr>
            </w:pPr>
            <w:r w:rsidRPr="00C72C96">
              <w:rPr>
                <w:rFonts w:ascii="黑体" w:eastAsia="黑体" w:hAnsi="黑体" w:hint="eastAsia"/>
                <w:szCs w:val="21"/>
              </w:rPr>
              <w:t>B公司2X08年的存货周转天数为：</w:t>
            </w:r>
          </w:p>
          <w:p w:rsidR="00C72C96" w:rsidRPr="00C72C96" w:rsidRDefault="00C72C96" w:rsidP="00C72C96">
            <w:pPr>
              <w:snapToGrid w:val="0"/>
              <w:ind w:firstLineChars="200" w:firstLine="420"/>
              <w:jc w:val="left"/>
              <w:rPr>
                <w:rFonts w:ascii="黑体" w:eastAsia="黑体" w:hAnsi="黑体"/>
                <w:szCs w:val="21"/>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2197100" cy="308610"/>
                  <wp:effectExtent l="19050" t="0" r="0" b="0"/>
                  <wp:docPr id="12" name="图片 12" descr="C:\Users\ADMINI~1\AppData\Local\Temp\ksohtml\wps38E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DMINI~1\AppData\Local\Temp\ksohtml\wps38EE.tmp.jpg"/>
                          <pic:cNvPicPr>
                            <a:picLocks noChangeAspect="1" noChangeArrowheads="1"/>
                          </pic:cNvPicPr>
                        </pic:nvPicPr>
                        <pic:blipFill>
                          <a:blip r:embed="rId16"/>
                          <a:srcRect/>
                          <a:stretch>
                            <a:fillRect/>
                          </a:stretch>
                        </pic:blipFill>
                        <pic:spPr bwMode="auto">
                          <a:xfrm>
                            <a:off x="0" y="0"/>
                            <a:ext cx="2197100" cy="308610"/>
                          </a:xfrm>
                          <a:prstGeom prst="rect">
                            <a:avLst/>
                          </a:prstGeom>
                          <a:noFill/>
                          <a:ln w="9525">
                            <a:noFill/>
                            <a:miter lim="800000"/>
                            <a:headEnd/>
                            <a:tailEnd/>
                          </a:ln>
                        </pic:spPr>
                      </pic:pic>
                    </a:graphicData>
                  </a:graphic>
                </wp:inline>
              </w:drawing>
            </w:r>
          </w:p>
          <w:p w:rsidR="00C72C96" w:rsidRPr="00C72C96" w:rsidRDefault="00C72C96" w:rsidP="00C72C96">
            <w:pPr>
              <w:snapToGrid w:val="0"/>
              <w:ind w:firstLineChars="200" w:firstLine="420"/>
              <w:jc w:val="left"/>
              <w:rPr>
                <w:rFonts w:ascii="黑体" w:eastAsia="黑体" w:hAnsi="黑体"/>
                <w:szCs w:val="21"/>
              </w:rPr>
            </w:pPr>
            <w:r w:rsidRPr="00C72C96">
              <w:rPr>
                <w:rFonts w:ascii="黑体" w:eastAsia="黑体" w:hAnsi="黑体" w:hint="eastAsia"/>
                <w:szCs w:val="21"/>
              </w:rPr>
              <w:t>存货周转天数越</w:t>
            </w:r>
            <w:proofErr w:type="gramStart"/>
            <w:r w:rsidRPr="00C72C96">
              <w:rPr>
                <w:rFonts w:ascii="黑体" w:eastAsia="黑体" w:hAnsi="黑体" w:hint="eastAsia"/>
                <w:szCs w:val="21"/>
              </w:rPr>
              <w:t>短说明</w:t>
            </w:r>
            <w:proofErr w:type="gramEnd"/>
            <w:r w:rsidRPr="00C72C96">
              <w:rPr>
                <w:rFonts w:ascii="黑体" w:eastAsia="黑体" w:hAnsi="黑体" w:hint="eastAsia"/>
                <w:szCs w:val="21"/>
              </w:rPr>
              <w:t>周转越快，根据计算结果可知，B公司一年存货周转次数为3.31次，每1元存货所对应的销售成本为3.31元，存货一年内每一次周转天数为110.27天。对于销售型企业来说，存货周转率一般较低是由于库存商品一般都是大量储存，结合周转率可知，存货的周转速度一般来说都是比较慢的。</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3.在计算和使用存货周转率时应注意的问题</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1）计算存货周转率时，在选择使用“销售收入”还是“销售成本”作为指标计算周转率，要看分析的目的。若评估资产的获利能力或为分析各项资产的周转情况并识别主要影响因素，应使用“营业收入”作为周转额；若为评价资产流动性或企业存货管理的业绩，则应使用“营业成本”计算存货周转率，使其分子、分母应保持口径一致。实际工作中，两种周转率的差额是由毛利引起的，用哪一种计算都能达到分析目的。</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2）存货周转天数不是越少越好。存货过多会浪费企业资金，存货过少则不能满足流转的需要，在特定的生产经营条件下会存在一个最佳的存货水平，所以存货不是不是一味地追求低库存，还需要与企业具体的经营活动相联系。</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lastRenderedPageBreak/>
              <w:t>（3）应关注构成存货的原材料、在产品、半成品、产成品和低值易耗品之间的比例关系。如果产成品大量增加，其他项目减少，很可能是销售不顺，放慢了生产节奏。此时，存货金额的总量可能并没有显著变动，甚至尚未引起存货周转率的显著变化。因此，在财务分析时既要重点关注变化大的项目，也不能完全忽视变化不大的项目，其内部可能隐藏着重要的问题。</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 xml:space="preserve"> </w:t>
            </w:r>
          </w:p>
          <w:p w:rsidR="00C72C96" w:rsidRPr="00C72C96" w:rsidRDefault="00C72C96" w:rsidP="00C72C96">
            <w:pPr>
              <w:keepNext/>
              <w:widowControl/>
              <w:snapToGrid w:val="0"/>
              <w:spacing w:line="412" w:lineRule="auto"/>
              <w:ind w:firstLineChars="200" w:firstLine="422"/>
              <w:outlineLvl w:val="1"/>
              <w:rPr>
                <w:rFonts w:ascii="黑体" w:eastAsia="黑体" w:hAnsi="黑体" w:cs="微软雅黑"/>
                <w:b/>
                <w:bCs/>
                <w:szCs w:val="21"/>
              </w:rPr>
            </w:pPr>
            <w:bookmarkStart w:id="6" w:name="_Toc438036943"/>
            <w:bookmarkEnd w:id="6"/>
            <w:r w:rsidRPr="00C72C96">
              <w:rPr>
                <w:rFonts w:ascii="黑体" w:eastAsia="黑体" w:hAnsi="黑体" w:hint="eastAsia"/>
                <w:b/>
                <w:bCs/>
                <w:szCs w:val="21"/>
              </w:rPr>
              <w:t>三、流动资产营运能力</w:t>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t>流动资产营运能力是衡量企业组织、管理和营运流动资产绩效的能力，是反映企业流动资产变现的能力。</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1.流动资产周转率</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流动资产周转率是销售收入与流动资产平均余额的比率，反映企业对流动资产的利用效率，其计算公式如下：</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2968625" cy="403860"/>
                  <wp:effectExtent l="19050" t="0" r="3175" b="0"/>
                  <wp:docPr id="13" name="图片 13" descr="C:\Users\ADMINI~1\AppData\Local\Temp\ksohtml\wps38E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DMINI~1\AppData\Local\Temp\ksohtml\wps38EF.tmp.jpg"/>
                          <pic:cNvPicPr>
                            <a:picLocks noChangeAspect="1" noChangeArrowheads="1"/>
                          </pic:cNvPicPr>
                        </pic:nvPicPr>
                        <pic:blipFill>
                          <a:blip r:embed="rId17"/>
                          <a:srcRect/>
                          <a:stretch>
                            <a:fillRect/>
                          </a:stretch>
                        </pic:blipFill>
                        <pic:spPr bwMode="auto">
                          <a:xfrm>
                            <a:off x="0" y="0"/>
                            <a:ext cx="2968625" cy="403860"/>
                          </a:xfrm>
                          <a:prstGeom prst="rect">
                            <a:avLst/>
                          </a:prstGeom>
                          <a:noFill/>
                          <a:ln w="9525">
                            <a:noFill/>
                            <a:miter lim="800000"/>
                            <a:headEnd/>
                            <a:tailEnd/>
                          </a:ln>
                        </pic:spPr>
                      </pic:pic>
                    </a:graphicData>
                  </a:graphic>
                </wp:inline>
              </w:drawing>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其中：</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3538855" cy="344170"/>
                  <wp:effectExtent l="19050" t="0" r="4445" b="0"/>
                  <wp:docPr id="14" name="图片 14" descr="C:\Users\ADMINI~1\AppData\Local\Temp\ksohtml\wps38F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DMINI~1\AppData\Local\Temp\ksohtml\wps38FF.tmp.jpg"/>
                          <pic:cNvPicPr>
                            <a:picLocks noChangeAspect="1" noChangeArrowheads="1"/>
                          </pic:cNvPicPr>
                        </pic:nvPicPr>
                        <pic:blipFill>
                          <a:blip r:embed="rId18"/>
                          <a:srcRect/>
                          <a:stretch>
                            <a:fillRect/>
                          </a:stretch>
                        </pic:blipFill>
                        <pic:spPr bwMode="auto">
                          <a:xfrm>
                            <a:off x="0" y="0"/>
                            <a:ext cx="3538855" cy="344170"/>
                          </a:xfrm>
                          <a:prstGeom prst="rect">
                            <a:avLst/>
                          </a:prstGeom>
                          <a:noFill/>
                          <a:ln w="9525">
                            <a:noFill/>
                            <a:miter lim="800000"/>
                            <a:headEnd/>
                            <a:tailEnd/>
                          </a:ln>
                        </pic:spPr>
                      </pic:pic>
                    </a:graphicData>
                  </a:graphic>
                </wp:inline>
              </w:drawing>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 xml:space="preserve"> </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流动资产周转率，表明1年中流动资产周转的次数，或者说明每1元流动资产支持的销售收入。</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2.流动资产周转天数</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流动资产周转天数表明流动资产周转一次需要的时间，也就是流动资产转换成现金平均需要的时间。其计算公式如下：</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3788410" cy="403860"/>
                  <wp:effectExtent l="19050" t="0" r="2540" b="0"/>
                  <wp:docPr id="15" name="图片 15" descr="C:\Users\ADMINI~1\AppData\Local\Temp\ksohtml\wps390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I~1\AppData\Local\Temp\ksohtml\wps3900.tmp.jpg"/>
                          <pic:cNvPicPr>
                            <a:picLocks noChangeAspect="1" noChangeArrowheads="1"/>
                          </pic:cNvPicPr>
                        </pic:nvPicPr>
                        <pic:blipFill>
                          <a:blip r:embed="rId19"/>
                          <a:srcRect/>
                          <a:stretch>
                            <a:fillRect/>
                          </a:stretch>
                        </pic:blipFill>
                        <pic:spPr bwMode="auto">
                          <a:xfrm>
                            <a:off x="0" y="0"/>
                            <a:ext cx="3788410" cy="403860"/>
                          </a:xfrm>
                          <a:prstGeom prst="rect">
                            <a:avLst/>
                          </a:prstGeom>
                          <a:noFill/>
                          <a:ln w="9525">
                            <a:noFill/>
                            <a:miter lim="800000"/>
                            <a:headEnd/>
                            <a:tailEnd/>
                          </a:ln>
                        </pic:spPr>
                      </pic:pic>
                    </a:graphicData>
                  </a:graphic>
                </wp:inline>
              </w:drawing>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通常，流动资产中应收账款和存货占绝大部分，因此它们的周转状况对流动资产周转具有决定性影响。</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例8-3：C公司部分资产负债表内容如表8-4所示。</w:t>
            </w:r>
          </w:p>
          <w:p w:rsidR="00C72C96" w:rsidRPr="00C72C96" w:rsidRDefault="00C72C96" w:rsidP="00C72C96">
            <w:pPr>
              <w:snapToGrid w:val="0"/>
              <w:ind w:firstLineChars="200" w:firstLine="420"/>
              <w:jc w:val="center"/>
              <w:rPr>
                <w:rFonts w:ascii="黑体" w:eastAsia="黑体" w:hAnsi="黑体"/>
                <w:szCs w:val="21"/>
              </w:rPr>
            </w:pPr>
            <w:r w:rsidRPr="00C72C96">
              <w:rPr>
                <w:rFonts w:ascii="黑体" w:eastAsia="黑体" w:hAnsi="黑体" w:hint="eastAsia"/>
                <w:szCs w:val="21"/>
              </w:rPr>
              <w:t>表8-4 C公司财务数据</w:t>
            </w:r>
          </w:p>
          <w:tbl>
            <w:tblPr>
              <w:tblStyle w:val="af0"/>
              <w:tblW w:w="5309" w:type="dxa"/>
              <w:tblInd w:w="1413" w:type="dxa"/>
              <w:tblLayout w:type="fixed"/>
              <w:tblLook w:val="04A0"/>
            </w:tblPr>
            <w:tblGrid>
              <w:gridCol w:w="2737"/>
              <w:gridCol w:w="2572"/>
            </w:tblGrid>
            <w:tr w:rsidR="00C72C96" w:rsidRPr="00C72C96" w:rsidTr="00AE581F">
              <w:trPr>
                <w:trHeight w:val="330"/>
              </w:trPr>
              <w:tc>
                <w:tcPr>
                  <w:tcW w:w="2737"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项目</w:t>
                  </w:r>
                </w:p>
              </w:tc>
              <w:tc>
                <w:tcPr>
                  <w:tcW w:w="2572" w:type="dxa"/>
                  <w:tcBorders>
                    <w:top w:val="single" w:sz="4" w:space="0" w:color="auto"/>
                    <w:left w:val="nil"/>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2X09年</w:t>
                  </w:r>
                </w:p>
              </w:tc>
            </w:tr>
            <w:tr w:rsidR="00C72C96" w:rsidRPr="00C72C96" w:rsidTr="00AE581F">
              <w:trPr>
                <w:trHeight w:val="330"/>
              </w:trPr>
              <w:tc>
                <w:tcPr>
                  <w:tcW w:w="2737"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销售收入（万元）</w:t>
                  </w:r>
                </w:p>
              </w:tc>
              <w:tc>
                <w:tcPr>
                  <w:tcW w:w="2572" w:type="dxa"/>
                  <w:tcBorders>
                    <w:top w:val="single" w:sz="4" w:space="0" w:color="auto"/>
                    <w:left w:val="nil"/>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9450</w:t>
                  </w:r>
                </w:p>
              </w:tc>
            </w:tr>
            <w:tr w:rsidR="00C72C96" w:rsidRPr="00C72C96" w:rsidTr="00AE581F">
              <w:trPr>
                <w:trHeight w:val="343"/>
              </w:trPr>
              <w:tc>
                <w:tcPr>
                  <w:tcW w:w="2737"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流动资产期初余额（万元）</w:t>
                  </w:r>
                </w:p>
              </w:tc>
              <w:tc>
                <w:tcPr>
                  <w:tcW w:w="2572" w:type="dxa"/>
                  <w:tcBorders>
                    <w:top w:val="single" w:sz="4" w:space="0" w:color="auto"/>
                    <w:left w:val="nil"/>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1780</w:t>
                  </w:r>
                </w:p>
              </w:tc>
            </w:tr>
            <w:tr w:rsidR="00C72C96" w:rsidRPr="00C72C96" w:rsidTr="00AE581F">
              <w:trPr>
                <w:trHeight w:val="330"/>
              </w:trPr>
              <w:tc>
                <w:tcPr>
                  <w:tcW w:w="2737"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流动资产期末余额（万元）</w:t>
                  </w:r>
                </w:p>
              </w:tc>
              <w:tc>
                <w:tcPr>
                  <w:tcW w:w="2572" w:type="dxa"/>
                  <w:tcBorders>
                    <w:top w:val="single" w:sz="4" w:space="0" w:color="auto"/>
                    <w:left w:val="nil"/>
                    <w:bottom w:val="single" w:sz="4" w:space="0" w:color="auto"/>
                    <w:right w:val="single" w:sz="4" w:space="0" w:color="auto"/>
                  </w:tcBorders>
                  <w:hideMark/>
                </w:tcPr>
                <w:p w:rsidR="00C72C96" w:rsidRPr="00C72C96" w:rsidRDefault="00C72C96" w:rsidP="00AE581F">
                  <w:pPr>
                    <w:snapToGrid w:val="0"/>
                    <w:jc w:val="center"/>
                    <w:rPr>
                      <w:rFonts w:ascii="黑体" w:eastAsia="黑体" w:hAnsi="黑体"/>
                      <w:szCs w:val="21"/>
                    </w:rPr>
                  </w:pPr>
                  <w:r w:rsidRPr="00C72C96">
                    <w:rPr>
                      <w:rFonts w:ascii="黑体" w:eastAsia="黑体" w:hAnsi="黑体" w:hint="eastAsia"/>
                      <w:szCs w:val="21"/>
                    </w:rPr>
                    <w:t>2140</w:t>
                  </w:r>
                </w:p>
              </w:tc>
            </w:tr>
          </w:tbl>
          <w:p w:rsidR="00C72C96" w:rsidRPr="00C72C96" w:rsidRDefault="00C72C96" w:rsidP="00C72C96">
            <w:pPr>
              <w:snapToGrid w:val="0"/>
              <w:ind w:firstLineChars="200" w:firstLine="420"/>
              <w:jc w:val="center"/>
              <w:rPr>
                <w:rFonts w:ascii="黑体" w:eastAsia="黑体" w:hAnsi="黑体"/>
                <w:szCs w:val="21"/>
              </w:rPr>
            </w:pPr>
            <w:r w:rsidRPr="00C72C96">
              <w:rPr>
                <w:rFonts w:ascii="黑体" w:eastAsia="黑体" w:hAnsi="黑体" w:hint="eastAsia"/>
                <w:szCs w:val="21"/>
              </w:rPr>
              <w:t xml:space="preserve"> </w:t>
            </w:r>
          </w:p>
          <w:p w:rsidR="00C72C96" w:rsidRPr="00C72C96" w:rsidRDefault="00C72C96" w:rsidP="00C72C96">
            <w:pPr>
              <w:snapToGrid w:val="0"/>
              <w:ind w:firstLineChars="200" w:firstLine="420"/>
              <w:jc w:val="left"/>
              <w:rPr>
                <w:rFonts w:ascii="黑体" w:eastAsia="黑体" w:hAnsi="黑体"/>
                <w:szCs w:val="21"/>
              </w:rPr>
            </w:pPr>
            <w:r w:rsidRPr="00C72C96">
              <w:rPr>
                <w:rFonts w:ascii="黑体" w:eastAsia="黑体" w:hAnsi="黑体" w:hint="eastAsia"/>
                <w:szCs w:val="21"/>
              </w:rPr>
              <w:t>根据上述公式与数据，我们可以计算出流动资产周转率为：</w:t>
            </w:r>
          </w:p>
          <w:p w:rsidR="00C72C96" w:rsidRPr="00C72C96" w:rsidRDefault="00C72C96" w:rsidP="00C72C96">
            <w:pPr>
              <w:snapToGrid w:val="0"/>
              <w:ind w:firstLineChars="200" w:firstLine="420"/>
              <w:jc w:val="left"/>
              <w:rPr>
                <w:rFonts w:ascii="黑体" w:eastAsia="黑体" w:hAnsi="黑体"/>
                <w:szCs w:val="21"/>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2992755" cy="297180"/>
                  <wp:effectExtent l="19050" t="0" r="0" b="0"/>
                  <wp:docPr id="16" name="图片 16" descr="C:\Users\ADMINI~1\AppData\Local\Temp\ksohtml\wps3901.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DMINI~1\AppData\Local\Temp\ksohtml\wps3901.tmp.jpg"/>
                          <pic:cNvPicPr>
                            <a:picLocks noChangeAspect="1" noChangeArrowheads="1"/>
                          </pic:cNvPicPr>
                        </pic:nvPicPr>
                        <pic:blipFill>
                          <a:blip r:embed="rId20"/>
                          <a:srcRect/>
                          <a:stretch>
                            <a:fillRect/>
                          </a:stretch>
                        </pic:blipFill>
                        <pic:spPr bwMode="auto">
                          <a:xfrm>
                            <a:off x="0" y="0"/>
                            <a:ext cx="2992755" cy="297180"/>
                          </a:xfrm>
                          <a:prstGeom prst="rect">
                            <a:avLst/>
                          </a:prstGeom>
                          <a:noFill/>
                          <a:ln w="9525">
                            <a:noFill/>
                            <a:miter lim="800000"/>
                            <a:headEnd/>
                            <a:tailEnd/>
                          </a:ln>
                        </pic:spPr>
                      </pic:pic>
                    </a:graphicData>
                  </a:graphic>
                </wp:inline>
              </w:drawing>
            </w:r>
          </w:p>
          <w:p w:rsidR="00C72C96" w:rsidRPr="00C72C96" w:rsidRDefault="00C72C96" w:rsidP="00C72C96">
            <w:pPr>
              <w:snapToGrid w:val="0"/>
              <w:ind w:firstLineChars="200" w:firstLine="420"/>
              <w:jc w:val="left"/>
              <w:rPr>
                <w:rFonts w:ascii="黑体" w:eastAsia="黑体" w:hAnsi="黑体"/>
                <w:szCs w:val="21"/>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2232660" cy="308610"/>
                  <wp:effectExtent l="19050" t="0" r="0" b="0"/>
                  <wp:docPr id="17" name="图片 17" descr="C:\Users\ADMINI~1\AppData\Local\Temp\ksohtml\wps3912.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DMINI~1\AppData\Local\Temp\ksohtml\wps3912.tmp.jpg"/>
                          <pic:cNvPicPr>
                            <a:picLocks noChangeAspect="1" noChangeArrowheads="1"/>
                          </pic:cNvPicPr>
                        </pic:nvPicPr>
                        <pic:blipFill>
                          <a:blip r:embed="rId21"/>
                          <a:srcRect/>
                          <a:stretch>
                            <a:fillRect/>
                          </a:stretch>
                        </pic:blipFill>
                        <pic:spPr bwMode="auto">
                          <a:xfrm>
                            <a:off x="0" y="0"/>
                            <a:ext cx="2232660" cy="308610"/>
                          </a:xfrm>
                          <a:prstGeom prst="rect">
                            <a:avLst/>
                          </a:prstGeom>
                          <a:noFill/>
                          <a:ln w="9525">
                            <a:noFill/>
                            <a:miter lim="800000"/>
                            <a:headEnd/>
                            <a:tailEnd/>
                          </a:ln>
                        </pic:spPr>
                      </pic:pic>
                    </a:graphicData>
                  </a:graphic>
                </wp:inline>
              </w:drawing>
            </w:r>
          </w:p>
          <w:p w:rsidR="00C72C96" w:rsidRPr="00C72C96" w:rsidRDefault="00C72C96" w:rsidP="00C72C96">
            <w:pPr>
              <w:snapToGrid w:val="0"/>
              <w:ind w:firstLineChars="200" w:firstLine="420"/>
              <w:jc w:val="left"/>
              <w:rPr>
                <w:rFonts w:ascii="黑体" w:eastAsia="黑体" w:hAnsi="黑体"/>
                <w:szCs w:val="21"/>
              </w:rPr>
            </w:pPr>
            <w:r w:rsidRPr="00C72C96">
              <w:rPr>
                <w:rFonts w:ascii="黑体" w:eastAsia="黑体" w:hAnsi="黑体" w:hint="eastAsia"/>
                <w:szCs w:val="21"/>
              </w:rPr>
              <w:t>所以，存货周转天数也可计算出：</w:t>
            </w:r>
          </w:p>
          <w:p w:rsidR="00C72C96" w:rsidRPr="00C72C96" w:rsidRDefault="00C72C96" w:rsidP="00C72C96">
            <w:pPr>
              <w:snapToGrid w:val="0"/>
              <w:ind w:firstLineChars="200" w:firstLine="420"/>
              <w:jc w:val="left"/>
              <w:rPr>
                <w:rFonts w:ascii="黑体" w:eastAsia="黑体" w:hAnsi="黑体"/>
                <w:szCs w:val="21"/>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3230245" cy="308610"/>
                  <wp:effectExtent l="19050" t="0" r="8255" b="0"/>
                  <wp:docPr id="18" name="图片 18" descr="C:\Users\ADMINI~1\AppData\Local\Temp\ksohtml\wps3913.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DMINI~1\AppData\Local\Temp\ksohtml\wps3913.tmp.jpg"/>
                          <pic:cNvPicPr>
                            <a:picLocks noChangeAspect="1" noChangeArrowheads="1"/>
                          </pic:cNvPicPr>
                        </pic:nvPicPr>
                        <pic:blipFill>
                          <a:blip r:embed="rId22"/>
                          <a:srcRect/>
                          <a:stretch>
                            <a:fillRect/>
                          </a:stretch>
                        </pic:blipFill>
                        <pic:spPr bwMode="auto">
                          <a:xfrm>
                            <a:off x="0" y="0"/>
                            <a:ext cx="3230245" cy="308610"/>
                          </a:xfrm>
                          <a:prstGeom prst="rect">
                            <a:avLst/>
                          </a:prstGeom>
                          <a:noFill/>
                          <a:ln w="9525">
                            <a:noFill/>
                            <a:miter lim="800000"/>
                            <a:headEnd/>
                            <a:tailEnd/>
                          </a:ln>
                        </pic:spPr>
                      </pic:pic>
                    </a:graphicData>
                  </a:graphic>
                </wp:inline>
              </w:drawing>
            </w:r>
          </w:p>
          <w:p w:rsidR="00C72C96" w:rsidRPr="00C72C96" w:rsidRDefault="00C72C96" w:rsidP="00C72C96">
            <w:pPr>
              <w:snapToGrid w:val="0"/>
              <w:ind w:firstLineChars="200" w:firstLine="420"/>
              <w:jc w:val="left"/>
              <w:rPr>
                <w:rFonts w:ascii="黑体" w:eastAsia="黑体" w:hAnsi="黑体"/>
                <w:szCs w:val="21"/>
              </w:rPr>
            </w:pPr>
            <w:r w:rsidRPr="00C72C96">
              <w:rPr>
                <w:rFonts w:ascii="黑体" w:eastAsia="黑体" w:hAnsi="黑体" w:hint="eastAsia"/>
                <w:szCs w:val="21"/>
              </w:rPr>
              <w:t>通过计算，我们可以知道，C公司的流动资产一年内的周转次数为5.59次，也说明每1元流动资产支持的销售收入为5.59元，一年内每次周转天数为65.30天。流动资产包含了应收账款和存货，所以流动资产周转率是反映流动资产周转的一个综合指标，流动资产周转率越高，表示流动资产周转速度越快，意味着资金的流动性和利用效率较高。</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3.在计算和使用流动资产周转率时应注意的问题</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（1）一般情况下，该指标越高，表明企业流动资产周转速度越快，利用越好。但是究竟流动资产周转率应该达到多少才算好，并没有一个确定的标准，对企业流动资产周转率的分</w:t>
            </w:r>
            <w:r w:rsidRPr="00C72C96">
              <w:rPr>
                <w:rFonts w:ascii="黑体" w:eastAsia="黑体" w:hAnsi="黑体" w:hint="eastAsia"/>
                <w:szCs w:val="21"/>
              </w:rPr>
              <w:lastRenderedPageBreak/>
              <w:t>析应该基于企业历年的数据以及同行业状况。</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（2）流动资产周转率是一个分析的综合指标，作为营运能力的关键因素，不能将流动资产周转率的分析与企业的偿债能力以及盈利能力割裂开来，而一味的追求高流动资产周转率。</w:t>
            </w:r>
          </w:p>
          <w:p w:rsidR="00C72C96" w:rsidRPr="00C72C96" w:rsidRDefault="00C72C96" w:rsidP="00C72C96">
            <w:pPr>
              <w:jc w:val="center"/>
              <w:rPr>
                <w:rFonts w:ascii="黑体" w:eastAsia="黑体" w:hAnsi="黑体"/>
                <w:b/>
                <w:bCs/>
                <w:szCs w:val="21"/>
              </w:rPr>
            </w:pPr>
            <w:bookmarkStart w:id="7" w:name="_Toc438036944"/>
            <w:bookmarkEnd w:id="7"/>
            <w:r w:rsidRPr="00C72C96">
              <w:rPr>
                <w:rFonts w:ascii="黑体" w:eastAsia="黑体" w:hAnsi="黑体" w:hint="eastAsia"/>
                <w:b/>
                <w:bCs/>
                <w:szCs w:val="21"/>
              </w:rPr>
              <w:t xml:space="preserve"> </w:t>
            </w:r>
          </w:p>
          <w:p w:rsidR="00C72C96" w:rsidRPr="00C72C96" w:rsidRDefault="00C72C96" w:rsidP="00C72C96">
            <w:pPr>
              <w:jc w:val="center"/>
              <w:rPr>
                <w:rFonts w:ascii="黑体" w:eastAsia="黑体" w:hAnsi="黑体"/>
                <w:b/>
                <w:bCs/>
                <w:szCs w:val="21"/>
              </w:rPr>
            </w:pPr>
            <w:r w:rsidRPr="00C72C96">
              <w:rPr>
                <w:rFonts w:ascii="黑体" w:eastAsia="黑体" w:hAnsi="黑体" w:hint="eastAsia"/>
                <w:b/>
                <w:bCs/>
                <w:szCs w:val="21"/>
              </w:rPr>
              <w:t>第三节</w:t>
            </w:r>
            <w:r w:rsidRPr="00C72C96">
              <w:rPr>
                <w:rFonts w:ascii="黑体" w:eastAsia="黑体" w:hAnsi="黑体"/>
                <w:b/>
                <w:bCs/>
                <w:szCs w:val="21"/>
              </w:rPr>
              <w:t xml:space="preserve"> </w:t>
            </w:r>
            <w:r w:rsidRPr="00C72C96">
              <w:rPr>
                <w:rFonts w:ascii="黑体" w:eastAsia="黑体" w:hAnsi="黑体" w:hint="eastAsia"/>
                <w:b/>
                <w:bCs/>
                <w:szCs w:val="21"/>
              </w:rPr>
              <w:t>固定资产营运能力分析及指标</w:t>
            </w:r>
          </w:p>
          <w:p w:rsidR="00C72C96" w:rsidRPr="00C72C96" w:rsidRDefault="00C72C96" w:rsidP="00C72C96">
            <w:pPr>
              <w:ind w:firstLineChars="200" w:firstLine="420"/>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固定资产的价值一般比较大，使用时间比较长，在购置和建造固定资产时，需要一次性支付相当数量的货币资金，而且资金的循环期比较长。固定资产的营运能力分析是对固定资产利用率与其所占用的资金之间的关系的分析，这对企业来说是很重要的。固定资产营运能力分析主要包括固定资产周转率和固定资产周转天数。</w:t>
            </w:r>
          </w:p>
          <w:p w:rsidR="00C72C96" w:rsidRPr="00C72C96" w:rsidRDefault="00C72C96" w:rsidP="00C72C96">
            <w:pPr>
              <w:ind w:firstLineChars="200" w:firstLine="420"/>
              <w:rPr>
                <w:rFonts w:ascii="黑体" w:eastAsia="黑体" w:hAnsi="黑体" w:cs="Arial"/>
                <w:szCs w:val="21"/>
                <w:shd w:val="clear" w:color="auto" w:fill="FFFFFF"/>
              </w:rPr>
            </w:pPr>
            <w:r w:rsidRPr="00C72C96">
              <w:rPr>
                <w:rFonts w:ascii="黑体" w:eastAsia="黑体" w:hAnsi="黑体" w:cs="Arial"/>
                <w:szCs w:val="21"/>
                <w:shd w:val="clear" w:color="auto" w:fill="FFFFFF"/>
              </w:rPr>
              <w:t>1.</w:t>
            </w:r>
            <w:r w:rsidRPr="00C72C96">
              <w:rPr>
                <w:rFonts w:ascii="黑体" w:eastAsia="黑体" w:hAnsi="黑体" w:cs="Arial" w:hint="eastAsia"/>
                <w:szCs w:val="21"/>
                <w:shd w:val="clear" w:color="auto" w:fill="FFFFFF"/>
              </w:rPr>
              <w:t>固定资产周转率</w:t>
            </w:r>
          </w:p>
          <w:p w:rsidR="00C72C96" w:rsidRPr="00C72C96" w:rsidRDefault="00C72C96" w:rsidP="00C72C96">
            <w:pPr>
              <w:ind w:firstLineChars="200" w:firstLine="420"/>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固定资产周转率，也称固定资产利用率，是指企业销售收入与固定资产平均净值的比率，其计算公式为</w:t>
            </w:r>
            <w:r w:rsidRPr="00C72C96">
              <w:rPr>
                <w:rFonts w:ascii="黑体" w:eastAsia="黑体" w:hAnsi="黑体" w:cs="Arial"/>
                <w:szCs w:val="21"/>
                <w:shd w:val="clear" w:color="auto" w:fill="FFFFFF"/>
              </w:rPr>
              <w:t>:</w:t>
            </w:r>
          </w:p>
          <w:p w:rsidR="00C72C96" w:rsidRPr="00C72C96" w:rsidRDefault="00C72C96" w:rsidP="00C72C96">
            <w:pPr>
              <w:ind w:firstLineChars="200" w:firstLine="420"/>
              <w:rPr>
                <w:rFonts w:ascii="黑体" w:eastAsia="黑体" w:hAnsi="黑体" w:cs="Arial"/>
                <w:szCs w:val="21"/>
                <w:shd w:val="clear" w:color="auto" w:fill="FFFFFF"/>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2172970" cy="403860"/>
                  <wp:effectExtent l="19050" t="0" r="0" b="0"/>
                  <wp:docPr id="19" name="图片 19" descr="C:\Users\ADMINI~1\AppData\Local\Temp\ksohtml\wps3914.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DMINI~1\AppData\Local\Temp\ksohtml\wps3914.tmp.jpg"/>
                          <pic:cNvPicPr>
                            <a:picLocks noChangeAspect="1" noChangeArrowheads="1"/>
                          </pic:cNvPicPr>
                        </pic:nvPicPr>
                        <pic:blipFill>
                          <a:blip r:embed="rId23"/>
                          <a:srcRect/>
                          <a:stretch>
                            <a:fillRect/>
                          </a:stretch>
                        </pic:blipFill>
                        <pic:spPr bwMode="auto">
                          <a:xfrm>
                            <a:off x="0" y="0"/>
                            <a:ext cx="2172970" cy="403860"/>
                          </a:xfrm>
                          <a:prstGeom prst="rect">
                            <a:avLst/>
                          </a:prstGeom>
                          <a:noFill/>
                          <a:ln w="9525">
                            <a:noFill/>
                            <a:miter lim="800000"/>
                            <a:headEnd/>
                            <a:tailEnd/>
                          </a:ln>
                        </pic:spPr>
                      </pic:pic>
                    </a:graphicData>
                  </a:graphic>
                </wp:inline>
              </w:drawing>
            </w:r>
          </w:p>
          <w:p w:rsidR="00C72C96" w:rsidRPr="00C72C96" w:rsidRDefault="00C72C96" w:rsidP="00C72C96">
            <w:pPr>
              <w:ind w:firstLineChars="200" w:firstLine="420"/>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其中：</w:t>
            </w:r>
          </w:p>
          <w:p w:rsidR="00C72C96" w:rsidRPr="00C72C96" w:rsidRDefault="00C72C96" w:rsidP="00C72C96">
            <w:pPr>
              <w:ind w:firstLineChars="200" w:firstLine="420"/>
              <w:rPr>
                <w:rFonts w:ascii="黑体" w:eastAsia="黑体" w:hAnsi="黑体" w:cs="Arial"/>
                <w:szCs w:val="21"/>
                <w:shd w:val="clear" w:color="auto" w:fill="FFFFFF"/>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3538855" cy="344170"/>
                  <wp:effectExtent l="19050" t="0" r="4445" b="0"/>
                  <wp:docPr id="20" name="图片 20" descr="C:\Users\ADMINI~1\AppData\Local\Temp\ksohtml\wps391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DMINI~1\AppData\Local\Temp\ksohtml\wps3915.tmp.jpg"/>
                          <pic:cNvPicPr>
                            <a:picLocks noChangeAspect="1" noChangeArrowheads="1"/>
                          </pic:cNvPicPr>
                        </pic:nvPicPr>
                        <pic:blipFill>
                          <a:blip r:embed="rId24"/>
                          <a:srcRect/>
                          <a:stretch>
                            <a:fillRect/>
                          </a:stretch>
                        </pic:blipFill>
                        <pic:spPr bwMode="auto">
                          <a:xfrm>
                            <a:off x="0" y="0"/>
                            <a:ext cx="3538855" cy="344170"/>
                          </a:xfrm>
                          <a:prstGeom prst="rect">
                            <a:avLst/>
                          </a:prstGeom>
                          <a:noFill/>
                          <a:ln w="9525">
                            <a:noFill/>
                            <a:miter lim="800000"/>
                            <a:headEnd/>
                            <a:tailEnd/>
                          </a:ln>
                        </pic:spPr>
                      </pic:pic>
                    </a:graphicData>
                  </a:graphic>
                </wp:inline>
              </w:drawing>
            </w:r>
          </w:p>
          <w:p w:rsidR="00C72C96" w:rsidRPr="00C72C96" w:rsidRDefault="00C72C96" w:rsidP="00C72C96">
            <w:pPr>
              <w:ind w:firstLineChars="200" w:firstLine="420"/>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固定资产周转率表示在一个</w:t>
            </w:r>
            <w:hyperlink r:id="rId25" w:history="1">
              <w:r w:rsidRPr="004F4DF8">
                <w:rPr>
                  <w:rFonts w:ascii="黑体" w:eastAsia="黑体" w:hAnsi="黑体" w:cs="Arial" w:hint="eastAsia"/>
                  <w:szCs w:val="21"/>
                </w:rPr>
                <w:t>会计年度</w:t>
              </w:r>
            </w:hyperlink>
            <w:r w:rsidRPr="00C72C96">
              <w:rPr>
                <w:rFonts w:ascii="黑体" w:eastAsia="黑体" w:hAnsi="黑体" w:cs="Arial" w:hint="eastAsia"/>
                <w:szCs w:val="21"/>
                <w:shd w:val="clear" w:color="auto" w:fill="FFFFFF"/>
              </w:rPr>
              <w:t>内，固定资产周转的次数，或表示每</w:t>
            </w:r>
            <w:r w:rsidRPr="00C72C96">
              <w:rPr>
                <w:rFonts w:ascii="黑体" w:eastAsia="黑体" w:hAnsi="黑体" w:cs="Arial"/>
                <w:szCs w:val="21"/>
                <w:shd w:val="clear" w:color="auto" w:fill="FFFFFF"/>
              </w:rPr>
              <w:t>1</w:t>
            </w:r>
            <w:r w:rsidRPr="00C72C96">
              <w:rPr>
                <w:rFonts w:ascii="黑体" w:eastAsia="黑体" w:hAnsi="黑体" w:cs="Arial" w:hint="eastAsia"/>
                <w:szCs w:val="21"/>
                <w:shd w:val="clear" w:color="auto" w:fill="FFFFFF"/>
              </w:rPr>
              <w:t>元固定资产支持的销售收入。</w:t>
            </w:r>
          </w:p>
          <w:p w:rsidR="00C72C96" w:rsidRPr="00C72C96" w:rsidRDefault="00C72C96" w:rsidP="00C72C96">
            <w:pPr>
              <w:ind w:firstLineChars="200" w:firstLine="420"/>
              <w:rPr>
                <w:rFonts w:ascii="黑体" w:eastAsia="黑体" w:hAnsi="黑体" w:cs="Arial"/>
                <w:szCs w:val="21"/>
                <w:shd w:val="clear" w:color="auto" w:fill="FFFFFF"/>
              </w:rPr>
            </w:pPr>
            <w:r w:rsidRPr="00C72C96">
              <w:rPr>
                <w:rFonts w:ascii="黑体" w:eastAsia="黑体" w:hAnsi="黑体" w:cs="Arial"/>
                <w:szCs w:val="21"/>
                <w:shd w:val="clear" w:color="auto" w:fill="FFFFFF"/>
              </w:rPr>
              <w:t>2.</w:t>
            </w:r>
            <w:r w:rsidRPr="00C72C96">
              <w:rPr>
                <w:rFonts w:ascii="黑体" w:eastAsia="黑体" w:hAnsi="黑体" w:cs="Arial" w:hint="eastAsia"/>
                <w:szCs w:val="21"/>
                <w:shd w:val="clear" w:color="auto" w:fill="FFFFFF"/>
              </w:rPr>
              <w:t>固定资产周转天数</w:t>
            </w:r>
          </w:p>
          <w:p w:rsidR="00C72C96" w:rsidRPr="00C72C96" w:rsidRDefault="00C72C96" w:rsidP="00C72C96">
            <w:pPr>
              <w:ind w:firstLineChars="200" w:firstLine="420"/>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固定资产周转天数是反映固定资产周转情况的一个重要指标，数值上等于</w:t>
            </w:r>
            <w:r w:rsidRPr="00C72C96">
              <w:rPr>
                <w:rFonts w:ascii="黑体" w:eastAsia="黑体" w:hAnsi="黑体" w:cs="Arial"/>
                <w:szCs w:val="21"/>
                <w:shd w:val="clear" w:color="auto" w:fill="FFFFFF"/>
              </w:rPr>
              <w:t>365</w:t>
            </w:r>
            <w:r w:rsidRPr="00C72C96">
              <w:rPr>
                <w:rFonts w:ascii="黑体" w:eastAsia="黑体" w:hAnsi="黑体" w:cs="Arial" w:hint="eastAsia"/>
                <w:szCs w:val="21"/>
                <w:shd w:val="clear" w:color="auto" w:fill="FFFFFF"/>
              </w:rPr>
              <w:t>天与固定资产周转率之比，其计算公式为：</w:t>
            </w:r>
          </w:p>
          <w:p w:rsidR="00C72C96" w:rsidRPr="00C72C96" w:rsidRDefault="00C72C96" w:rsidP="00C72C96">
            <w:pPr>
              <w:ind w:firstLineChars="200" w:firstLine="420"/>
              <w:rPr>
                <w:rFonts w:ascii="黑体" w:eastAsia="黑体" w:hAnsi="黑体" w:cs="Arial"/>
                <w:szCs w:val="21"/>
                <w:shd w:val="clear" w:color="auto" w:fill="FFFFFF"/>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3788410" cy="403860"/>
                  <wp:effectExtent l="19050" t="0" r="2540" b="0"/>
                  <wp:docPr id="21" name="图片 21" descr="C:\Users\ADMINI~1\AppData\Local\Temp\ksohtml\wps392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DMINI~1\AppData\Local\Temp\ksohtml\wps3925.tmp.jpg"/>
                          <pic:cNvPicPr>
                            <a:picLocks noChangeAspect="1" noChangeArrowheads="1"/>
                          </pic:cNvPicPr>
                        </pic:nvPicPr>
                        <pic:blipFill>
                          <a:blip r:embed="rId26"/>
                          <a:srcRect/>
                          <a:stretch>
                            <a:fillRect/>
                          </a:stretch>
                        </pic:blipFill>
                        <pic:spPr bwMode="auto">
                          <a:xfrm>
                            <a:off x="0" y="0"/>
                            <a:ext cx="3788410" cy="403860"/>
                          </a:xfrm>
                          <a:prstGeom prst="rect">
                            <a:avLst/>
                          </a:prstGeom>
                          <a:noFill/>
                          <a:ln w="9525">
                            <a:noFill/>
                            <a:miter lim="800000"/>
                            <a:headEnd/>
                            <a:tailEnd/>
                          </a:ln>
                        </pic:spPr>
                      </pic:pic>
                    </a:graphicData>
                  </a:graphic>
                </wp:inline>
              </w:drawing>
            </w:r>
          </w:p>
          <w:p w:rsidR="00C72C96" w:rsidRPr="00C72C96" w:rsidRDefault="00C72C96" w:rsidP="00C72C96">
            <w:pPr>
              <w:ind w:firstLineChars="200" w:firstLine="420"/>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固定资产周转天数表示在一个会计年度内，固定资产转换成现金平均需要的时间，即平均天数。固定资产的周转次数越多，则周转天数越短；周转次数越少，则周转天数越长。</w:t>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t>固定资产周转率主要用于分析企业大型生产设备等固定资产的利用效率，固定资产转换率越高，说明固定资产转换为现金效率以及资产管理效率高。相反，固定资产周转率低，周转天数长，说明固定资产占用了大量资金，生产效率低下。</w:t>
            </w:r>
          </w:p>
          <w:p w:rsidR="00C72C96" w:rsidRPr="00C72C96" w:rsidRDefault="00C72C96" w:rsidP="00C72C96">
            <w:pPr>
              <w:ind w:firstLineChars="200" w:firstLine="420"/>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例</w:t>
            </w:r>
            <w:r w:rsidRPr="00C72C96">
              <w:rPr>
                <w:rFonts w:ascii="黑体" w:eastAsia="黑体" w:hAnsi="黑体" w:cs="Arial"/>
                <w:szCs w:val="21"/>
                <w:shd w:val="clear" w:color="auto" w:fill="FFFFFF"/>
              </w:rPr>
              <w:t>8-4</w:t>
            </w:r>
            <w:r w:rsidRPr="00C72C96">
              <w:rPr>
                <w:rFonts w:ascii="黑体" w:eastAsia="黑体" w:hAnsi="黑体" w:cs="Arial" w:hint="eastAsia"/>
                <w:szCs w:val="21"/>
                <w:shd w:val="clear" w:color="auto" w:fill="FFFFFF"/>
              </w:rPr>
              <w:t>：</w:t>
            </w:r>
            <w:r w:rsidRPr="00C72C96">
              <w:rPr>
                <w:rFonts w:ascii="黑体" w:eastAsia="黑体" w:hAnsi="黑体" w:cs="Arial"/>
                <w:szCs w:val="21"/>
                <w:shd w:val="clear" w:color="auto" w:fill="FFFFFF"/>
              </w:rPr>
              <w:t xml:space="preserve"> D</w:t>
            </w:r>
            <w:r w:rsidRPr="00C72C96">
              <w:rPr>
                <w:rFonts w:ascii="黑体" w:eastAsia="黑体" w:hAnsi="黑体" w:cs="Arial" w:hint="eastAsia"/>
                <w:szCs w:val="21"/>
                <w:shd w:val="clear" w:color="auto" w:fill="FFFFFF"/>
              </w:rPr>
              <w:t>公司</w:t>
            </w:r>
            <w:r w:rsidRPr="00C72C96">
              <w:rPr>
                <w:rFonts w:ascii="黑体" w:eastAsia="黑体" w:hAnsi="黑体" w:cs="Arial"/>
                <w:szCs w:val="21"/>
                <w:shd w:val="clear" w:color="auto" w:fill="FFFFFF"/>
              </w:rPr>
              <w:t>2X11</w:t>
            </w:r>
            <w:r w:rsidRPr="00C72C96">
              <w:rPr>
                <w:rFonts w:ascii="黑体" w:eastAsia="黑体" w:hAnsi="黑体" w:cs="Arial" w:hint="eastAsia"/>
                <w:szCs w:val="21"/>
                <w:shd w:val="clear" w:color="auto" w:fill="FFFFFF"/>
              </w:rPr>
              <w:t>年取得销售收入</w:t>
            </w:r>
            <w:r w:rsidRPr="00C72C96">
              <w:rPr>
                <w:rFonts w:ascii="黑体" w:eastAsia="黑体" w:hAnsi="黑体" w:cs="Arial"/>
                <w:szCs w:val="21"/>
                <w:shd w:val="clear" w:color="auto" w:fill="FFFFFF"/>
              </w:rPr>
              <w:t>9400</w:t>
            </w:r>
            <w:r w:rsidRPr="00C72C96">
              <w:rPr>
                <w:rFonts w:ascii="黑体" w:eastAsia="黑体" w:hAnsi="黑体" w:cs="Arial" w:hint="eastAsia"/>
                <w:szCs w:val="21"/>
                <w:shd w:val="clear" w:color="auto" w:fill="FFFFFF"/>
              </w:rPr>
              <w:t>万元，有关固定资产数据如表</w:t>
            </w:r>
            <w:r w:rsidRPr="00C72C96">
              <w:rPr>
                <w:rFonts w:ascii="黑体" w:eastAsia="黑体" w:hAnsi="黑体" w:cs="Arial"/>
                <w:szCs w:val="21"/>
                <w:shd w:val="clear" w:color="auto" w:fill="FFFFFF"/>
              </w:rPr>
              <w:t>8-5</w:t>
            </w:r>
            <w:r w:rsidRPr="00C72C96">
              <w:rPr>
                <w:rFonts w:ascii="黑体" w:eastAsia="黑体" w:hAnsi="黑体" w:cs="Arial" w:hint="eastAsia"/>
                <w:szCs w:val="21"/>
                <w:shd w:val="clear" w:color="auto" w:fill="FFFFFF"/>
              </w:rPr>
              <w:t>所示。</w:t>
            </w:r>
          </w:p>
          <w:p w:rsidR="00C72C96" w:rsidRPr="00C72C96" w:rsidRDefault="00C72C96" w:rsidP="00C72C96">
            <w:pPr>
              <w:ind w:firstLineChars="200" w:firstLine="420"/>
              <w:jc w:val="center"/>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表</w:t>
            </w:r>
            <w:r w:rsidRPr="00C72C96">
              <w:rPr>
                <w:rFonts w:ascii="黑体" w:eastAsia="黑体" w:hAnsi="黑体" w:cs="Arial"/>
                <w:szCs w:val="21"/>
                <w:shd w:val="clear" w:color="auto" w:fill="FFFFFF"/>
              </w:rPr>
              <w:t>8-5 D</w:t>
            </w:r>
            <w:r w:rsidRPr="00C72C96">
              <w:rPr>
                <w:rFonts w:ascii="黑体" w:eastAsia="黑体" w:hAnsi="黑体" w:cs="Arial" w:hint="eastAsia"/>
                <w:szCs w:val="21"/>
                <w:shd w:val="clear" w:color="auto" w:fill="FFFFFF"/>
              </w:rPr>
              <w:t>公司财务数据</w:t>
            </w:r>
          </w:p>
          <w:tbl>
            <w:tblPr>
              <w:tblStyle w:val="af0"/>
              <w:tblW w:w="8296" w:type="dxa"/>
              <w:tblLayout w:type="fixed"/>
              <w:tblLook w:val="04A0"/>
            </w:tblPr>
            <w:tblGrid>
              <w:gridCol w:w="2765"/>
              <w:gridCol w:w="2765"/>
              <w:gridCol w:w="2766"/>
            </w:tblGrid>
            <w:tr w:rsidR="00C72C96" w:rsidRPr="00C72C96" w:rsidTr="00AE581F">
              <w:tc>
                <w:tcPr>
                  <w:tcW w:w="2765"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jc w:val="center"/>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项目</w:t>
                  </w:r>
                </w:p>
              </w:tc>
              <w:tc>
                <w:tcPr>
                  <w:tcW w:w="2765" w:type="dxa"/>
                  <w:tcBorders>
                    <w:top w:val="single" w:sz="4" w:space="0" w:color="auto"/>
                    <w:left w:val="nil"/>
                    <w:bottom w:val="single" w:sz="4" w:space="0" w:color="auto"/>
                    <w:right w:val="single" w:sz="4" w:space="0" w:color="auto"/>
                  </w:tcBorders>
                  <w:hideMark/>
                </w:tcPr>
                <w:p w:rsidR="00C72C96" w:rsidRPr="00C72C96" w:rsidRDefault="00C72C96" w:rsidP="00AE581F">
                  <w:pPr>
                    <w:jc w:val="center"/>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2X10年末</w:t>
                  </w:r>
                </w:p>
              </w:tc>
              <w:tc>
                <w:tcPr>
                  <w:tcW w:w="2766" w:type="dxa"/>
                  <w:tcBorders>
                    <w:top w:val="single" w:sz="4" w:space="0" w:color="auto"/>
                    <w:left w:val="nil"/>
                    <w:bottom w:val="single" w:sz="4" w:space="0" w:color="auto"/>
                    <w:right w:val="single" w:sz="4" w:space="0" w:color="auto"/>
                  </w:tcBorders>
                  <w:hideMark/>
                </w:tcPr>
                <w:p w:rsidR="00C72C96" w:rsidRPr="00C72C96" w:rsidRDefault="00C72C96" w:rsidP="00AE581F">
                  <w:pPr>
                    <w:jc w:val="center"/>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2X11年末</w:t>
                  </w:r>
                </w:p>
              </w:tc>
            </w:tr>
            <w:tr w:rsidR="00C72C96" w:rsidRPr="00C72C96" w:rsidTr="00AE581F">
              <w:tc>
                <w:tcPr>
                  <w:tcW w:w="2765"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jc w:val="center"/>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固定资产</w:t>
                  </w:r>
                </w:p>
              </w:tc>
              <w:tc>
                <w:tcPr>
                  <w:tcW w:w="2765" w:type="dxa"/>
                  <w:tcBorders>
                    <w:top w:val="single" w:sz="4" w:space="0" w:color="auto"/>
                    <w:left w:val="nil"/>
                    <w:bottom w:val="single" w:sz="4" w:space="0" w:color="auto"/>
                    <w:right w:val="single" w:sz="4" w:space="0" w:color="auto"/>
                  </w:tcBorders>
                  <w:hideMark/>
                </w:tcPr>
                <w:p w:rsidR="00C72C96" w:rsidRPr="00C72C96" w:rsidRDefault="00C72C96" w:rsidP="00AE581F">
                  <w:pPr>
                    <w:jc w:val="center"/>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2020</w:t>
                  </w:r>
                </w:p>
              </w:tc>
              <w:tc>
                <w:tcPr>
                  <w:tcW w:w="2766" w:type="dxa"/>
                  <w:tcBorders>
                    <w:top w:val="single" w:sz="4" w:space="0" w:color="auto"/>
                    <w:left w:val="nil"/>
                    <w:bottom w:val="single" w:sz="4" w:space="0" w:color="auto"/>
                    <w:right w:val="single" w:sz="4" w:space="0" w:color="auto"/>
                  </w:tcBorders>
                  <w:hideMark/>
                </w:tcPr>
                <w:p w:rsidR="00C72C96" w:rsidRPr="00C72C96" w:rsidRDefault="00C72C96" w:rsidP="00AE581F">
                  <w:pPr>
                    <w:jc w:val="center"/>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2530</w:t>
                  </w:r>
                </w:p>
              </w:tc>
            </w:tr>
            <w:tr w:rsidR="00C72C96" w:rsidRPr="00C72C96" w:rsidTr="00AE581F">
              <w:tc>
                <w:tcPr>
                  <w:tcW w:w="2765"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jc w:val="center"/>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累计折旧</w:t>
                  </w:r>
                </w:p>
              </w:tc>
              <w:tc>
                <w:tcPr>
                  <w:tcW w:w="2765" w:type="dxa"/>
                  <w:tcBorders>
                    <w:top w:val="single" w:sz="4" w:space="0" w:color="auto"/>
                    <w:left w:val="nil"/>
                    <w:bottom w:val="single" w:sz="4" w:space="0" w:color="auto"/>
                    <w:right w:val="single" w:sz="4" w:space="0" w:color="auto"/>
                  </w:tcBorders>
                  <w:hideMark/>
                </w:tcPr>
                <w:p w:rsidR="00C72C96" w:rsidRPr="00C72C96" w:rsidRDefault="00C72C96" w:rsidP="00AE581F">
                  <w:pPr>
                    <w:jc w:val="center"/>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220</w:t>
                  </w:r>
                </w:p>
              </w:tc>
              <w:tc>
                <w:tcPr>
                  <w:tcW w:w="2766" w:type="dxa"/>
                  <w:tcBorders>
                    <w:top w:val="single" w:sz="4" w:space="0" w:color="auto"/>
                    <w:left w:val="nil"/>
                    <w:bottom w:val="single" w:sz="4" w:space="0" w:color="auto"/>
                    <w:right w:val="single" w:sz="4" w:space="0" w:color="auto"/>
                  </w:tcBorders>
                  <w:hideMark/>
                </w:tcPr>
                <w:p w:rsidR="00C72C96" w:rsidRPr="00C72C96" w:rsidRDefault="00C72C96" w:rsidP="00AE581F">
                  <w:pPr>
                    <w:jc w:val="center"/>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380</w:t>
                  </w:r>
                </w:p>
              </w:tc>
            </w:tr>
            <w:tr w:rsidR="00C72C96" w:rsidRPr="00C72C96" w:rsidTr="00AE581F">
              <w:tc>
                <w:tcPr>
                  <w:tcW w:w="2765" w:type="dxa"/>
                  <w:tcBorders>
                    <w:top w:val="single" w:sz="4" w:space="0" w:color="auto"/>
                    <w:left w:val="single" w:sz="4" w:space="0" w:color="auto"/>
                    <w:bottom w:val="single" w:sz="4" w:space="0" w:color="auto"/>
                    <w:right w:val="single" w:sz="4" w:space="0" w:color="auto"/>
                  </w:tcBorders>
                  <w:hideMark/>
                </w:tcPr>
                <w:p w:rsidR="00C72C96" w:rsidRPr="00C72C96" w:rsidRDefault="00C72C96" w:rsidP="00AE581F">
                  <w:pPr>
                    <w:jc w:val="center"/>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固定资产净值</w:t>
                  </w:r>
                </w:p>
              </w:tc>
              <w:tc>
                <w:tcPr>
                  <w:tcW w:w="2765" w:type="dxa"/>
                  <w:tcBorders>
                    <w:top w:val="single" w:sz="4" w:space="0" w:color="auto"/>
                    <w:left w:val="nil"/>
                    <w:bottom w:val="single" w:sz="4" w:space="0" w:color="auto"/>
                    <w:right w:val="single" w:sz="4" w:space="0" w:color="auto"/>
                  </w:tcBorders>
                  <w:hideMark/>
                </w:tcPr>
                <w:p w:rsidR="00C72C96" w:rsidRPr="00C72C96" w:rsidRDefault="00C72C96" w:rsidP="00AE581F">
                  <w:pPr>
                    <w:jc w:val="center"/>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1800</w:t>
                  </w:r>
                </w:p>
              </w:tc>
              <w:tc>
                <w:tcPr>
                  <w:tcW w:w="2766" w:type="dxa"/>
                  <w:tcBorders>
                    <w:top w:val="single" w:sz="4" w:space="0" w:color="auto"/>
                    <w:left w:val="nil"/>
                    <w:bottom w:val="single" w:sz="4" w:space="0" w:color="auto"/>
                    <w:right w:val="single" w:sz="4" w:space="0" w:color="auto"/>
                  </w:tcBorders>
                  <w:hideMark/>
                </w:tcPr>
                <w:p w:rsidR="00C72C96" w:rsidRPr="00C72C96" w:rsidRDefault="00C72C96" w:rsidP="00AE581F">
                  <w:pPr>
                    <w:jc w:val="center"/>
                    <w:rPr>
                      <w:rFonts w:ascii="黑体" w:eastAsia="黑体" w:hAnsi="黑体" w:cs="Arial"/>
                      <w:szCs w:val="21"/>
                      <w:shd w:val="clear" w:color="auto" w:fill="FFFFFF"/>
                    </w:rPr>
                  </w:pPr>
                  <w:r w:rsidRPr="00C72C96">
                    <w:rPr>
                      <w:rFonts w:ascii="黑体" w:eastAsia="黑体" w:hAnsi="黑体" w:cs="Arial" w:hint="eastAsia"/>
                      <w:szCs w:val="21"/>
                      <w:shd w:val="clear" w:color="auto" w:fill="FFFFFF"/>
                    </w:rPr>
                    <w:t>2150</w:t>
                  </w:r>
                </w:p>
              </w:tc>
            </w:tr>
          </w:tbl>
          <w:p w:rsidR="00C72C96" w:rsidRPr="00C72C96" w:rsidRDefault="00C72C96" w:rsidP="00C72C96">
            <w:pPr>
              <w:ind w:firstLineChars="200" w:firstLine="420"/>
              <w:rPr>
                <w:rFonts w:ascii="黑体" w:eastAsia="黑体" w:hAnsi="黑体" w:cs="Arial"/>
                <w:szCs w:val="21"/>
                <w:shd w:val="clear" w:color="auto" w:fill="FFFFFF"/>
              </w:rPr>
            </w:pPr>
            <w:r w:rsidRPr="00C72C96">
              <w:rPr>
                <w:rFonts w:ascii="黑体" w:eastAsia="黑体" w:hAnsi="黑体" w:cs="Arial"/>
                <w:szCs w:val="21"/>
                <w:shd w:val="clear" w:color="auto" w:fill="FFFFFF"/>
              </w:rPr>
              <w:t xml:space="preserve"> </w:t>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t>根据上述公式与数据，我们可计算得：</w:t>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2992755" cy="308610"/>
                  <wp:effectExtent l="19050" t="0" r="0" b="0"/>
                  <wp:docPr id="22" name="图片 22" descr="C:\Users\ADMINI~1\AppData\Local\Temp\ksohtml\wps3926.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ADMINI~1\AppData\Local\Temp\ksohtml\wps3926.tmp.jpg"/>
                          <pic:cNvPicPr>
                            <a:picLocks noChangeAspect="1" noChangeArrowheads="1"/>
                          </pic:cNvPicPr>
                        </pic:nvPicPr>
                        <pic:blipFill>
                          <a:blip r:embed="rId27"/>
                          <a:srcRect/>
                          <a:stretch>
                            <a:fillRect/>
                          </a:stretch>
                        </pic:blipFill>
                        <pic:spPr bwMode="auto">
                          <a:xfrm>
                            <a:off x="0" y="0"/>
                            <a:ext cx="2992755" cy="308610"/>
                          </a:xfrm>
                          <a:prstGeom prst="rect">
                            <a:avLst/>
                          </a:prstGeom>
                          <a:noFill/>
                          <a:ln w="9525">
                            <a:noFill/>
                            <a:miter lim="800000"/>
                            <a:headEnd/>
                            <a:tailEnd/>
                          </a:ln>
                        </pic:spPr>
                      </pic:pic>
                    </a:graphicData>
                  </a:graphic>
                </wp:inline>
              </w:drawing>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t xml:space="preserve">             </w:t>
            </w:r>
            <w:r w:rsidRPr="00C72C96">
              <w:rPr>
                <w:rFonts w:ascii="黑体" w:eastAsia="黑体" w:hAnsi="黑体"/>
                <w:noProof/>
                <w:szCs w:val="21"/>
              </w:rPr>
              <w:drawing>
                <wp:inline distT="0" distB="0" distL="0" distR="0">
                  <wp:extent cx="2232660" cy="308610"/>
                  <wp:effectExtent l="19050" t="0" r="0" b="0"/>
                  <wp:docPr id="23" name="图片 23" descr="C:\Users\ADMINI~1\AppData\Local\Temp\ksohtml\wps3927.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ADMINI~1\AppData\Local\Temp\ksohtml\wps3927.tmp.jpg"/>
                          <pic:cNvPicPr>
                            <a:picLocks noChangeAspect="1" noChangeArrowheads="1"/>
                          </pic:cNvPicPr>
                        </pic:nvPicPr>
                        <pic:blipFill>
                          <a:blip r:embed="rId28"/>
                          <a:srcRect/>
                          <a:stretch>
                            <a:fillRect/>
                          </a:stretch>
                        </pic:blipFill>
                        <pic:spPr bwMode="auto">
                          <a:xfrm>
                            <a:off x="0" y="0"/>
                            <a:ext cx="2232660" cy="308610"/>
                          </a:xfrm>
                          <a:prstGeom prst="rect">
                            <a:avLst/>
                          </a:prstGeom>
                          <a:noFill/>
                          <a:ln w="9525">
                            <a:noFill/>
                            <a:miter lim="800000"/>
                            <a:headEnd/>
                            <a:tailEnd/>
                          </a:ln>
                        </pic:spPr>
                      </pic:pic>
                    </a:graphicData>
                  </a:graphic>
                </wp:inline>
              </w:drawing>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lastRenderedPageBreak/>
              <w:t xml:space="preserve">             </w:t>
            </w:r>
            <w:r w:rsidRPr="00C72C96">
              <w:rPr>
                <w:rFonts w:ascii="黑体" w:eastAsia="黑体" w:hAnsi="黑体"/>
                <w:noProof/>
                <w:szCs w:val="21"/>
              </w:rPr>
              <w:drawing>
                <wp:inline distT="0" distB="0" distL="0" distR="0">
                  <wp:extent cx="3230245" cy="308610"/>
                  <wp:effectExtent l="19050" t="0" r="8255" b="0"/>
                  <wp:docPr id="24" name="图片 24" descr="C:\Users\ADMINI~1\AppData\Local\Temp\ksohtml\wps3938.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ADMINI~1\AppData\Local\Temp\ksohtml\wps3938.tmp.jpg"/>
                          <pic:cNvPicPr>
                            <a:picLocks noChangeAspect="1" noChangeArrowheads="1"/>
                          </pic:cNvPicPr>
                        </pic:nvPicPr>
                        <pic:blipFill>
                          <a:blip r:embed="rId29"/>
                          <a:srcRect/>
                          <a:stretch>
                            <a:fillRect/>
                          </a:stretch>
                        </pic:blipFill>
                        <pic:spPr bwMode="auto">
                          <a:xfrm>
                            <a:off x="0" y="0"/>
                            <a:ext cx="3230245" cy="308610"/>
                          </a:xfrm>
                          <a:prstGeom prst="rect">
                            <a:avLst/>
                          </a:prstGeom>
                          <a:noFill/>
                          <a:ln w="9525">
                            <a:noFill/>
                            <a:miter lim="800000"/>
                            <a:headEnd/>
                            <a:tailEnd/>
                          </a:ln>
                        </pic:spPr>
                      </pic:pic>
                    </a:graphicData>
                  </a:graphic>
                </wp:inline>
              </w:drawing>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t>计算表明，D公司固定资产的一年内周转次数为4.76次，也就是说每1元固定资产所支持的销售收入为4.76元，类似于存货周转率，由于固定资产一般价值较大，是企业的主要资产组成，周转率一般比较低。固定资产周转天数说明一年内固定资产转换成现金的平均天数为76.68天。固定资产相比于流动资产，其周转率明显更低。</w:t>
            </w:r>
          </w:p>
          <w:p w:rsidR="00C72C96" w:rsidRPr="00C72C96" w:rsidRDefault="00C72C96" w:rsidP="00C72C96">
            <w:pPr>
              <w:snapToGrid w:val="0"/>
              <w:ind w:firstLineChars="200" w:firstLine="420"/>
              <w:rPr>
                <w:rFonts w:ascii="黑体" w:eastAsia="黑体" w:hAnsi="黑体"/>
                <w:szCs w:val="21"/>
              </w:rPr>
            </w:pPr>
            <w:r w:rsidRPr="00C72C96">
              <w:rPr>
                <w:rFonts w:ascii="黑体" w:eastAsia="黑体" w:hAnsi="黑体" w:hint="eastAsia"/>
                <w:szCs w:val="21"/>
              </w:rPr>
              <w:t>3.在计算和使用固定资产周转率时应注意的问题</w:t>
            </w:r>
          </w:p>
          <w:p w:rsidR="00C72C96" w:rsidRPr="00C72C96" w:rsidRDefault="00C72C96" w:rsidP="00C72C96">
            <w:pPr>
              <w:ind w:firstLineChars="200" w:firstLine="420"/>
              <w:rPr>
                <w:rFonts w:ascii="黑体" w:eastAsia="黑体" w:hAnsi="黑体"/>
                <w:szCs w:val="21"/>
              </w:rPr>
            </w:pPr>
            <w:r w:rsidRPr="00C72C96">
              <w:rPr>
                <w:rFonts w:ascii="黑体" w:eastAsia="黑体" w:hAnsi="黑体" w:hint="eastAsia"/>
                <w:szCs w:val="21"/>
              </w:rPr>
              <w:t xml:space="preserve">（1）在计算固定资产周转率时，这一指标的分母采用固定资产平均净值，不是固定资产原值，数值上等于固定资产原值减去累计折旧的余额，因此指标的比较将受到固定资产折旧方法和折旧年限的影响，在使用该指标时应注意其可比性问题。 </w:t>
            </w:r>
          </w:p>
          <w:p w:rsidR="00C72C96" w:rsidRPr="00C72C96" w:rsidRDefault="00C72C96" w:rsidP="00C72C96">
            <w:pPr>
              <w:ind w:firstLineChars="200" w:firstLine="420"/>
              <w:rPr>
                <w:rFonts w:ascii="黑体" w:eastAsia="黑体" w:hAnsi="黑体"/>
                <w:b/>
                <w:bCs/>
                <w:szCs w:val="21"/>
              </w:rPr>
            </w:pPr>
            <w:r w:rsidRPr="00C72C96">
              <w:rPr>
                <w:rFonts w:ascii="黑体" w:eastAsia="黑体" w:hAnsi="黑体" w:hint="eastAsia"/>
                <w:szCs w:val="21"/>
              </w:rPr>
              <w:t>（2）当企业固定资产净值率过低(如因资产陈旧或过度计提折旧)，或者当企业属于劳动密集型企业时，采用固定资产周转率对企业进行营运能力分析的意义不大，因为这时固定资产对于企业来说，并不是其主要销售的业务或者产品的必要组成部分。</w:t>
            </w:r>
          </w:p>
          <w:p w:rsidR="00C72C96" w:rsidRPr="00C72C96" w:rsidRDefault="00C72C96" w:rsidP="00C72C96">
            <w:pPr>
              <w:jc w:val="center"/>
              <w:rPr>
                <w:rFonts w:ascii="黑体" w:eastAsia="黑体" w:hAnsi="黑体"/>
                <w:b/>
                <w:bCs/>
                <w:szCs w:val="21"/>
              </w:rPr>
            </w:pPr>
            <w:r w:rsidRPr="00C72C96">
              <w:rPr>
                <w:rFonts w:ascii="黑体" w:eastAsia="黑体" w:hAnsi="黑体" w:hint="eastAsia"/>
                <w:b/>
                <w:bCs/>
                <w:szCs w:val="21"/>
              </w:rPr>
              <w:t xml:space="preserve"> </w:t>
            </w:r>
          </w:p>
          <w:p w:rsidR="00C72C96" w:rsidRPr="00C72C96" w:rsidRDefault="00C72C96" w:rsidP="00C72C96">
            <w:pPr>
              <w:jc w:val="center"/>
              <w:rPr>
                <w:rFonts w:ascii="黑体" w:eastAsia="黑体" w:hAnsi="黑体"/>
                <w:b/>
                <w:bCs/>
                <w:szCs w:val="21"/>
              </w:rPr>
            </w:pPr>
            <w:r w:rsidRPr="00C72C96">
              <w:rPr>
                <w:rFonts w:ascii="黑体" w:eastAsia="黑体" w:hAnsi="黑体" w:hint="eastAsia"/>
                <w:b/>
                <w:bCs/>
                <w:szCs w:val="21"/>
              </w:rPr>
              <w:t>第四节  总资产营运能力分析及指标</w:t>
            </w:r>
          </w:p>
          <w:p w:rsidR="00C72C96" w:rsidRPr="00C72C96" w:rsidRDefault="00C72C96" w:rsidP="00C72C96">
            <w:pPr>
              <w:rPr>
                <w:rFonts w:ascii="黑体" w:eastAsia="黑体" w:hAnsi="黑体"/>
                <w:szCs w:val="21"/>
              </w:rPr>
            </w:pPr>
            <w:r w:rsidRPr="00C72C96">
              <w:rPr>
                <w:rFonts w:ascii="黑体" w:eastAsia="黑体" w:hAnsi="黑体" w:hint="eastAsia"/>
                <w:b/>
                <w:bCs/>
                <w:szCs w:val="21"/>
              </w:rPr>
              <w:t xml:space="preserve">  </w:t>
            </w:r>
            <w:r w:rsidRPr="00C72C96">
              <w:rPr>
                <w:rFonts w:ascii="黑体" w:eastAsia="黑体" w:hAnsi="黑体" w:hint="eastAsia"/>
                <w:szCs w:val="21"/>
              </w:rPr>
              <w:t xml:space="preserve">  总资产是企业进行生产经营、创造报酬的资产总和。总资产周转率和总资产周转天数综合反映了企业整体资产的营运能力。    </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一、总资产周转率</w:t>
            </w:r>
          </w:p>
          <w:p w:rsidR="00C72C96" w:rsidRPr="00C72C96" w:rsidRDefault="00C72C96" w:rsidP="00C72C96">
            <w:pPr>
              <w:rPr>
                <w:rFonts w:ascii="黑体" w:eastAsia="黑体" w:hAnsi="黑体"/>
                <w:szCs w:val="21"/>
              </w:rPr>
            </w:pPr>
            <w:r w:rsidRPr="00C72C96">
              <w:rPr>
                <w:rFonts w:ascii="黑体" w:eastAsia="黑体" w:hAnsi="黑体" w:hint="eastAsia"/>
                <w:szCs w:val="21"/>
              </w:rPr>
              <w:t>总资产周转率，也称总资产利用率，是指企业销售收入与总资产的比率，其计算公式为：</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总资产周转率</w:t>
            </w:r>
            <w:r w:rsidRPr="00C72C96">
              <w:rPr>
                <w:rFonts w:ascii="黑体" w:eastAsia="黑体" w:hAnsi="黑体" w:cs="Calibri" w:hint="eastAsia"/>
                <w:szCs w:val="21"/>
              </w:rPr>
              <w:t>=</w:t>
            </w:r>
            <w:r w:rsidRPr="00C72C96">
              <w:rPr>
                <w:rFonts w:ascii="黑体" w:eastAsia="黑体" w:hAnsi="黑体" w:hint="eastAsia"/>
                <w:szCs w:val="21"/>
              </w:rPr>
              <w:t>销售收入</w:t>
            </w:r>
            <w:r w:rsidRPr="00C72C96">
              <w:rPr>
                <w:rFonts w:ascii="黑体" w:eastAsia="黑体" w:hAnsi="黑体" w:cs="Calibri" w:hint="eastAsia"/>
                <w:szCs w:val="21"/>
              </w:rPr>
              <w:t>/</w:t>
            </w:r>
            <w:r w:rsidRPr="00C72C96">
              <w:rPr>
                <w:rFonts w:ascii="黑体" w:eastAsia="黑体" w:hAnsi="黑体" w:hint="eastAsia"/>
                <w:szCs w:val="21"/>
              </w:rPr>
              <w:t>资产平均总额</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其中：</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资产平均总额</w:t>
            </w:r>
            <w:r w:rsidRPr="00C72C96">
              <w:rPr>
                <w:rFonts w:ascii="黑体" w:eastAsia="黑体" w:hAnsi="黑体" w:cs="Calibri" w:hint="eastAsia"/>
                <w:szCs w:val="21"/>
              </w:rPr>
              <w:t>=(</w:t>
            </w:r>
            <w:r w:rsidRPr="00C72C96">
              <w:rPr>
                <w:rFonts w:ascii="黑体" w:eastAsia="黑体" w:hAnsi="黑体" w:hint="eastAsia"/>
                <w:szCs w:val="21"/>
              </w:rPr>
              <w:t>期初资产总额</w:t>
            </w:r>
            <w:r w:rsidRPr="00C72C96">
              <w:rPr>
                <w:rFonts w:ascii="黑体" w:eastAsia="黑体" w:hAnsi="黑体" w:cs="Calibri" w:hint="eastAsia"/>
                <w:szCs w:val="21"/>
              </w:rPr>
              <w:t>+</w:t>
            </w:r>
            <w:r w:rsidRPr="00C72C96">
              <w:rPr>
                <w:rFonts w:ascii="黑体" w:eastAsia="黑体" w:hAnsi="黑体" w:hint="eastAsia"/>
                <w:szCs w:val="21"/>
              </w:rPr>
              <w:t>期末资产总额</w:t>
            </w:r>
            <w:r w:rsidRPr="00C72C96">
              <w:rPr>
                <w:rFonts w:ascii="黑体" w:eastAsia="黑体" w:hAnsi="黑体" w:cs="Calibri" w:hint="eastAsia"/>
                <w:szCs w:val="21"/>
              </w:rPr>
              <w:t xml:space="preserve">)/2 </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二、总资产周转天数</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总资产周转天数是反映企业所有资产总额周转情况的一个重要指标，等于</w:t>
            </w:r>
            <w:r w:rsidRPr="00C72C96">
              <w:rPr>
                <w:rFonts w:ascii="黑体" w:eastAsia="黑体" w:hAnsi="黑体" w:cs="Calibri" w:hint="eastAsia"/>
                <w:szCs w:val="21"/>
              </w:rPr>
              <w:t>365</w:t>
            </w:r>
            <w:r w:rsidRPr="00C72C96">
              <w:rPr>
                <w:rFonts w:ascii="黑体" w:eastAsia="黑体" w:hAnsi="黑体" w:hint="eastAsia"/>
                <w:szCs w:val="21"/>
              </w:rPr>
              <w:t>天与总资产周转率之比。其计算公式为：</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总资产周转天数</w:t>
            </w:r>
            <w:r w:rsidRPr="00C72C96">
              <w:rPr>
                <w:rFonts w:ascii="黑体" w:eastAsia="黑体" w:hAnsi="黑体" w:cs="Calibri" w:hint="eastAsia"/>
                <w:szCs w:val="21"/>
              </w:rPr>
              <w:t>=365/</w:t>
            </w:r>
            <w:r w:rsidRPr="00C72C96">
              <w:rPr>
                <w:rFonts w:ascii="黑体" w:eastAsia="黑体" w:hAnsi="黑体" w:hint="eastAsia"/>
                <w:szCs w:val="21"/>
              </w:rPr>
              <w:t>总资产周转率</w:t>
            </w:r>
            <w:r w:rsidRPr="00C72C96">
              <w:rPr>
                <w:rFonts w:ascii="黑体" w:eastAsia="黑体" w:hAnsi="黑体" w:cs="Calibri" w:hint="eastAsia"/>
                <w:szCs w:val="21"/>
              </w:rPr>
              <w:t>=(365</w:t>
            </w:r>
            <w:r w:rsidRPr="00C72C96">
              <w:rPr>
                <w:rFonts w:ascii="黑体" w:eastAsia="黑体" w:hAnsi="黑体" w:hint="eastAsia"/>
                <w:szCs w:val="21"/>
              </w:rPr>
              <w:t>×资产平均总额</w:t>
            </w:r>
            <w:r w:rsidRPr="00C72C96">
              <w:rPr>
                <w:rFonts w:ascii="黑体" w:eastAsia="黑体" w:hAnsi="黑体" w:cs="Calibri" w:hint="eastAsia"/>
                <w:szCs w:val="21"/>
              </w:rPr>
              <w:t>)/</w:t>
            </w:r>
            <w:r w:rsidRPr="00C72C96">
              <w:rPr>
                <w:rFonts w:ascii="黑体" w:eastAsia="黑体" w:hAnsi="黑体" w:hint="eastAsia"/>
                <w:szCs w:val="21"/>
              </w:rPr>
              <w:t>销售收入</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总资产周转率与流动资产周转率都是衡量公司资产运营效率的指标，一般来说流动资产周转率越高，总资产周转率也越高，这两个指标从不同的角度对公司资产的运营进行了评价。</w:t>
            </w:r>
          </w:p>
          <w:p w:rsidR="00C72C96" w:rsidRPr="00C72C96" w:rsidRDefault="00C72C96" w:rsidP="00C72C96">
            <w:pPr>
              <w:rPr>
                <w:rFonts w:ascii="黑体" w:eastAsia="黑体" w:hAnsi="黑体"/>
                <w:szCs w:val="21"/>
              </w:rPr>
            </w:pPr>
            <w:r w:rsidRPr="00C72C96">
              <w:rPr>
                <w:rFonts w:ascii="黑体" w:eastAsia="黑体" w:hAnsi="黑体" w:hint="eastAsia"/>
                <w:szCs w:val="21"/>
              </w:rPr>
              <w:t>例</w:t>
            </w:r>
            <w:r w:rsidRPr="00C72C96">
              <w:rPr>
                <w:rFonts w:ascii="黑体" w:eastAsia="黑体" w:hAnsi="黑体" w:cs="Calibri" w:hint="eastAsia"/>
                <w:szCs w:val="21"/>
              </w:rPr>
              <w:t>8-5</w:t>
            </w:r>
            <w:r w:rsidRPr="00C72C96">
              <w:rPr>
                <w:rFonts w:ascii="黑体" w:eastAsia="黑体" w:hAnsi="黑体" w:hint="eastAsia"/>
                <w:szCs w:val="21"/>
              </w:rPr>
              <w:t>：</w:t>
            </w:r>
            <w:r w:rsidRPr="00C72C96">
              <w:rPr>
                <w:rFonts w:ascii="黑体" w:eastAsia="黑体" w:hAnsi="黑体" w:cs="Calibri" w:hint="eastAsia"/>
                <w:szCs w:val="21"/>
              </w:rPr>
              <w:t>E</w:t>
            </w:r>
            <w:r w:rsidRPr="00C72C96">
              <w:rPr>
                <w:rFonts w:ascii="黑体" w:eastAsia="黑体" w:hAnsi="黑体" w:hint="eastAsia"/>
                <w:szCs w:val="21"/>
              </w:rPr>
              <w:t>公司连续三年的资产负债表中相关资产项目的数额如表</w:t>
            </w:r>
            <w:r w:rsidRPr="00C72C96">
              <w:rPr>
                <w:rFonts w:ascii="黑体" w:eastAsia="黑体" w:hAnsi="黑体" w:cs="Calibri" w:hint="eastAsia"/>
                <w:szCs w:val="21"/>
              </w:rPr>
              <w:t>8-6(</w:t>
            </w:r>
            <w:r w:rsidRPr="00C72C96">
              <w:rPr>
                <w:rFonts w:ascii="黑体" w:eastAsia="黑体" w:hAnsi="黑体" w:hint="eastAsia"/>
                <w:szCs w:val="21"/>
              </w:rPr>
              <w:t>金额单位：万元</w:t>
            </w:r>
            <w:r w:rsidRPr="00C72C96">
              <w:rPr>
                <w:rFonts w:ascii="黑体" w:eastAsia="黑体" w:hAnsi="黑体" w:cs="Calibri" w:hint="eastAsia"/>
                <w:szCs w:val="21"/>
              </w:rPr>
              <w:t>)</w:t>
            </w:r>
            <w:r w:rsidRPr="00C72C96">
              <w:rPr>
                <w:rFonts w:ascii="黑体" w:eastAsia="黑体" w:hAnsi="黑体" w:hint="eastAsia"/>
                <w:szCs w:val="21"/>
              </w:rPr>
              <w:t>所示，已知</w:t>
            </w:r>
            <w:r w:rsidRPr="00C72C96">
              <w:rPr>
                <w:rFonts w:ascii="黑体" w:eastAsia="黑体" w:hAnsi="黑体" w:cs="Calibri" w:hint="eastAsia"/>
                <w:szCs w:val="21"/>
              </w:rPr>
              <w:t>2X14</w:t>
            </w:r>
            <w:r w:rsidRPr="00C72C96">
              <w:rPr>
                <w:rFonts w:ascii="黑体" w:eastAsia="黑体" w:hAnsi="黑体" w:hint="eastAsia"/>
                <w:szCs w:val="21"/>
              </w:rPr>
              <w:t>年营业收入额为</w:t>
            </w:r>
            <w:r w:rsidRPr="00C72C96">
              <w:rPr>
                <w:rFonts w:ascii="黑体" w:eastAsia="黑体" w:hAnsi="黑体" w:cs="Calibri" w:hint="eastAsia"/>
                <w:szCs w:val="21"/>
              </w:rPr>
              <w:t>10700</w:t>
            </w:r>
            <w:r w:rsidRPr="00C72C96">
              <w:rPr>
                <w:rFonts w:ascii="黑体" w:eastAsia="黑体" w:hAnsi="黑体" w:hint="eastAsia"/>
                <w:szCs w:val="21"/>
              </w:rPr>
              <w:t>万元，比</w:t>
            </w:r>
            <w:r w:rsidRPr="00C72C96">
              <w:rPr>
                <w:rFonts w:ascii="黑体" w:eastAsia="黑体" w:hAnsi="黑体" w:cs="Calibri" w:hint="eastAsia"/>
                <w:szCs w:val="21"/>
              </w:rPr>
              <w:t>2X13</w:t>
            </w:r>
            <w:r w:rsidRPr="00C72C96">
              <w:rPr>
                <w:rFonts w:ascii="黑体" w:eastAsia="黑体" w:hAnsi="黑体" w:hint="eastAsia"/>
                <w:szCs w:val="21"/>
              </w:rPr>
              <w:t>年增长了</w:t>
            </w:r>
            <w:r w:rsidRPr="00C72C96">
              <w:rPr>
                <w:rFonts w:ascii="黑体" w:eastAsia="黑体" w:hAnsi="黑体" w:cs="Calibri" w:hint="eastAsia"/>
                <w:szCs w:val="21"/>
              </w:rPr>
              <w:t>15%</w:t>
            </w:r>
            <w:r w:rsidRPr="00C72C96">
              <w:rPr>
                <w:rFonts w:ascii="黑体" w:eastAsia="黑体" w:hAnsi="黑体" w:hint="eastAsia"/>
                <w:szCs w:val="21"/>
              </w:rPr>
              <w:t>。</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表</w:t>
            </w:r>
            <w:r w:rsidRPr="00C72C96">
              <w:rPr>
                <w:rFonts w:ascii="黑体" w:eastAsia="黑体" w:hAnsi="黑体" w:cs="Calibri" w:hint="eastAsia"/>
                <w:szCs w:val="21"/>
              </w:rPr>
              <w:t>8-6 E</w:t>
            </w:r>
            <w:r w:rsidRPr="00C72C96">
              <w:rPr>
                <w:rFonts w:ascii="黑体" w:eastAsia="黑体" w:hAnsi="黑体" w:hint="eastAsia"/>
                <w:szCs w:val="21"/>
              </w:rPr>
              <w:t>公司财务数据</w:t>
            </w:r>
          </w:p>
          <w:p w:rsidR="00C72C96" w:rsidRPr="00C72C96" w:rsidRDefault="00C72C96" w:rsidP="00C72C96">
            <w:pPr>
              <w:rPr>
                <w:rFonts w:ascii="黑体" w:eastAsia="黑体" w:hAnsi="黑体"/>
                <w:szCs w:val="21"/>
              </w:rPr>
            </w:pPr>
            <w:r w:rsidRPr="00C72C96">
              <w:rPr>
                <w:rFonts w:ascii="黑体" w:eastAsia="黑体" w:hAnsi="黑体"/>
                <w:noProof/>
                <w:szCs w:val="21"/>
              </w:rPr>
              <w:drawing>
                <wp:inline distT="0" distB="0" distL="0" distR="0">
                  <wp:extent cx="5438775" cy="1318260"/>
                  <wp:effectExtent l="19050" t="0" r="0" b="0"/>
                  <wp:docPr id="25" name="图片 25" descr="C:\Users\ADMINI~1\AppData\Local\Temp\ksohtml\wps393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DMINI~1\AppData\Local\Temp\ksohtml\wps3939.tmp.png"/>
                          <pic:cNvPicPr>
                            <a:picLocks noChangeAspect="1" noChangeArrowheads="1"/>
                          </pic:cNvPicPr>
                        </pic:nvPicPr>
                        <pic:blipFill>
                          <a:blip r:embed="rId30"/>
                          <a:srcRect/>
                          <a:stretch>
                            <a:fillRect/>
                          </a:stretch>
                        </pic:blipFill>
                        <pic:spPr bwMode="auto">
                          <a:xfrm>
                            <a:off x="0" y="0"/>
                            <a:ext cx="5438775" cy="1318260"/>
                          </a:xfrm>
                          <a:prstGeom prst="rect">
                            <a:avLst/>
                          </a:prstGeom>
                          <a:noFill/>
                          <a:ln w="9525">
                            <a:noFill/>
                            <a:miter lim="800000"/>
                            <a:headEnd/>
                            <a:tailEnd/>
                          </a:ln>
                        </pic:spPr>
                      </pic:pic>
                    </a:graphicData>
                  </a:graphic>
                </wp:inline>
              </w:drawing>
            </w:r>
            <w:r w:rsidRPr="00C72C96">
              <w:rPr>
                <w:rFonts w:ascii="黑体" w:eastAsia="黑体" w:hAnsi="黑体" w:hint="eastAsia"/>
                <w:szCs w:val="21"/>
              </w:rPr>
              <w:t xml:space="preserve"> </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根据表中数据，我们可以计算出</w:t>
            </w:r>
            <w:r w:rsidRPr="00C72C96">
              <w:rPr>
                <w:rFonts w:ascii="黑体" w:eastAsia="黑体" w:hAnsi="黑体" w:cs="Calibri" w:hint="eastAsia"/>
                <w:szCs w:val="21"/>
              </w:rPr>
              <w:t>2X14</w:t>
            </w:r>
            <w:r w:rsidRPr="00C72C96">
              <w:rPr>
                <w:rFonts w:ascii="黑体" w:eastAsia="黑体" w:hAnsi="黑体" w:hint="eastAsia"/>
                <w:szCs w:val="21"/>
              </w:rPr>
              <w:t>年</w:t>
            </w:r>
            <w:r w:rsidRPr="00C72C96">
              <w:rPr>
                <w:rFonts w:ascii="黑体" w:eastAsia="黑体" w:hAnsi="黑体" w:cs="Calibri" w:hint="eastAsia"/>
                <w:szCs w:val="21"/>
              </w:rPr>
              <w:t>E</w:t>
            </w:r>
            <w:r w:rsidRPr="00C72C96">
              <w:rPr>
                <w:rFonts w:ascii="黑体" w:eastAsia="黑体" w:hAnsi="黑体" w:hint="eastAsia"/>
                <w:szCs w:val="21"/>
              </w:rPr>
              <w:t>公司的总资产周转率为：</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平均资产总额</w:t>
            </w:r>
            <w:r w:rsidRPr="00C72C96">
              <w:rPr>
                <w:rFonts w:ascii="黑体" w:eastAsia="黑体" w:hAnsi="黑体" w:cs="Calibri" w:hint="eastAsia"/>
                <w:szCs w:val="21"/>
              </w:rPr>
              <w:t>=(7040+7480)/2=7260</w:t>
            </w:r>
            <w:r w:rsidRPr="00C72C96">
              <w:rPr>
                <w:rFonts w:ascii="黑体" w:eastAsia="黑体" w:hAnsi="黑体" w:hint="eastAsia"/>
                <w:szCs w:val="21"/>
              </w:rPr>
              <w:t>（万元）</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总资产周转率</w:t>
            </w:r>
            <w:r w:rsidRPr="00C72C96">
              <w:rPr>
                <w:rFonts w:ascii="黑体" w:eastAsia="黑体" w:hAnsi="黑体" w:cs="Calibri" w:hint="eastAsia"/>
                <w:szCs w:val="21"/>
              </w:rPr>
              <w:t>=10700/7260=1.47</w:t>
            </w:r>
            <w:r w:rsidRPr="00C72C96">
              <w:rPr>
                <w:rFonts w:ascii="黑体" w:eastAsia="黑体" w:hAnsi="黑体" w:hint="eastAsia"/>
                <w:szCs w:val="21"/>
              </w:rPr>
              <w:t>（次）</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总资产周转天数</w:t>
            </w:r>
            <w:r w:rsidRPr="00C72C96">
              <w:rPr>
                <w:rFonts w:ascii="黑体" w:eastAsia="黑体" w:hAnsi="黑体" w:cs="Calibri" w:hint="eastAsia"/>
                <w:szCs w:val="21"/>
              </w:rPr>
              <w:t>=365/1.47=(365</w:t>
            </w:r>
            <w:r w:rsidRPr="00C72C96">
              <w:rPr>
                <w:rFonts w:ascii="黑体" w:eastAsia="黑体" w:hAnsi="黑体" w:hint="eastAsia"/>
                <w:szCs w:val="21"/>
              </w:rPr>
              <w:t>×</w:t>
            </w:r>
            <w:r w:rsidRPr="00C72C96">
              <w:rPr>
                <w:rFonts w:ascii="黑体" w:eastAsia="黑体" w:hAnsi="黑体" w:cs="Calibri" w:hint="eastAsia"/>
                <w:szCs w:val="21"/>
              </w:rPr>
              <w:t>7260)/10700=248.30</w:t>
            </w:r>
            <w:r w:rsidRPr="00C72C96">
              <w:rPr>
                <w:rFonts w:ascii="黑体" w:eastAsia="黑体" w:hAnsi="黑体" w:hint="eastAsia"/>
                <w:szCs w:val="21"/>
              </w:rPr>
              <w:t>（天）</w:t>
            </w:r>
          </w:p>
          <w:p w:rsidR="00C72C96" w:rsidRPr="00C72C96" w:rsidRDefault="00C72C96" w:rsidP="00C72C96">
            <w:pPr>
              <w:rPr>
                <w:rFonts w:ascii="黑体" w:eastAsia="黑体" w:hAnsi="黑体"/>
                <w:szCs w:val="21"/>
              </w:rPr>
            </w:pPr>
            <w:r w:rsidRPr="00C72C96">
              <w:rPr>
                <w:rFonts w:ascii="黑体" w:eastAsia="黑体" w:hAnsi="黑体" w:hint="eastAsia"/>
                <w:szCs w:val="21"/>
              </w:rPr>
              <w:lastRenderedPageBreak/>
              <w:t>3.在计算和使用总资产周转率时应注意的问题</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如果企业的总资产周转率突然上升，而企业的销售收入却无多大变化，则可能是企业本期报废了大量固定资产造成的，而不是企业的资产利用效率提高。</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如果企业的总资产周转率较低，且长期处于较低的状态，企业应采取措施提高各项资产的利用效率，处置多余，闲置不用的资产，提高销售收入，从而提高总资产周转率。</w:t>
            </w:r>
          </w:p>
          <w:p w:rsidR="00C72C96" w:rsidRPr="00C72C96" w:rsidRDefault="00C72C96" w:rsidP="00C72C96">
            <w:pPr>
              <w:rPr>
                <w:rFonts w:ascii="黑体" w:eastAsia="黑体" w:hAnsi="黑体"/>
                <w:szCs w:val="21"/>
              </w:rPr>
            </w:pPr>
            <w:r w:rsidRPr="00C72C96">
              <w:rPr>
                <w:rFonts w:ascii="黑体" w:eastAsia="黑体" w:hAnsi="黑体" w:hint="eastAsia"/>
                <w:szCs w:val="21"/>
              </w:rPr>
              <w:t xml:space="preserve">    如果企业资金占用的波动性较大，总资产平均余额应采用更详细的资料进行计算，如按照月份计算</w:t>
            </w:r>
          </w:p>
          <w:p w:rsidR="00C72C96" w:rsidRPr="00C72C96" w:rsidRDefault="00C72C96" w:rsidP="00C72C96">
            <w:pPr>
              <w:rPr>
                <w:rFonts w:ascii="黑体" w:eastAsia="黑体" w:hAnsi="黑体"/>
                <w:b/>
                <w:bCs/>
                <w:szCs w:val="21"/>
              </w:rPr>
            </w:pPr>
            <w:r w:rsidRPr="00C72C96">
              <w:rPr>
                <w:rFonts w:ascii="黑体" w:eastAsia="黑体" w:hAnsi="黑体" w:hint="eastAsia"/>
                <w:b/>
                <w:bCs/>
                <w:szCs w:val="21"/>
              </w:rPr>
              <w:t xml:space="preserve"> </w:t>
            </w:r>
          </w:p>
          <w:p w:rsidR="00C72C96" w:rsidRPr="00C72C96" w:rsidRDefault="00C72C96" w:rsidP="00C72C96">
            <w:pPr>
              <w:rPr>
                <w:rFonts w:ascii="黑体" w:eastAsia="黑体" w:hAnsi="黑体"/>
                <w:b/>
                <w:bCs/>
                <w:szCs w:val="21"/>
              </w:rPr>
            </w:pPr>
            <w:r w:rsidRPr="00C72C96">
              <w:rPr>
                <w:rFonts w:ascii="黑体" w:eastAsia="黑体" w:hAnsi="黑体"/>
                <w:b/>
                <w:szCs w:val="21"/>
              </w:rPr>
              <w:t>〖</w:t>
            </w:r>
            <w:r w:rsidR="00C5365C">
              <w:rPr>
                <w:rFonts w:ascii="黑体" w:eastAsia="黑体" w:hAnsi="黑体" w:hint="eastAsia"/>
                <w:b/>
                <w:bCs/>
                <w:szCs w:val="21"/>
              </w:rPr>
              <w:t>小结</w:t>
            </w:r>
            <w:r w:rsidRPr="00C72C96">
              <w:rPr>
                <w:rFonts w:ascii="黑体" w:eastAsia="黑体" w:hAnsi="黑体"/>
                <w:b/>
                <w:szCs w:val="21"/>
              </w:rPr>
              <w:t>〗</w:t>
            </w:r>
          </w:p>
          <w:p w:rsidR="00C72C96" w:rsidRPr="00C72C96" w:rsidRDefault="00C72C96" w:rsidP="00C72C96">
            <w:pPr>
              <w:numPr>
                <w:ilvl w:val="0"/>
                <w:numId w:val="1"/>
              </w:numPr>
              <w:rPr>
                <w:rFonts w:ascii="黑体" w:eastAsia="黑体" w:hAnsi="黑体"/>
                <w:szCs w:val="21"/>
              </w:rPr>
            </w:pPr>
            <w:r w:rsidRPr="00C72C96">
              <w:rPr>
                <w:rFonts w:ascii="黑体" w:eastAsia="黑体" w:hAnsi="黑体" w:hint="eastAsia"/>
                <w:szCs w:val="21"/>
              </w:rPr>
              <w:t>营运能力</w:t>
            </w:r>
            <w:r w:rsidR="004F4DF8">
              <w:rPr>
                <w:rFonts w:ascii="黑体" w:eastAsia="黑体" w:hAnsi="黑体" w:hint="eastAsia"/>
                <w:szCs w:val="21"/>
              </w:rPr>
              <w:t>可以从流动资产营运能力、固定资产营运能力以及总资产营运能力等方面分析。</w:t>
            </w:r>
            <w:r w:rsidRPr="00C72C96">
              <w:rPr>
                <w:rFonts w:ascii="黑体" w:eastAsia="黑体" w:hAnsi="黑体" w:hint="eastAsia"/>
                <w:szCs w:val="21"/>
              </w:rPr>
              <w:t xml:space="preserve">    </w:t>
            </w:r>
          </w:p>
          <w:p w:rsidR="00C72C96" w:rsidRPr="00C72C96" w:rsidRDefault="00C72C96" w:rsidP="00C72C96">
            <w:pPr>
              <w:numPr>
                <w:ilvl w:val="0"/>
                <w:numId w:val="1"/>
              </w:numPr>
              <w:rPr>
                <w:rFonts w:ascii="黑体" w:eastAsia="黑体" w:hAnsi="黑体"/>
                <w:szCs w:val="21"/>
              </w:rPr>
            </w:pPr>
            <w:r w:rsidRPr="00C72C96">
              <w:rPr>
                <w:rFonts w:ascii="黑体" w:eastAsia="黑体" w:hAnsi="黑体" w:hint="eastAsia"/>
                <w:szCs w:val="21"/>
              </w:rPr>
              <w:t>流动资产</w:t>
            </w:r>
            <w:r w:rsidR="004F4DF8">
              <w:rPr>
                <w:rFonts w:ascii="黑体" w:eastAsia="黑体" w:hAnsi="黑体" w:hint="eastAsia"/>
                <w:szCs w:val="21"/>
              </w:rPr>
              <w:t>营运能力包括应收账款营运能力、存货营运能力及流动资产营运能力等指标。</w:t>
            </w:r>
            <w:r w:rsidRPr="00C72C96">
              <w:rPr>
                <w:rFonts w:ascii="黑体" w:eastAsia="黑体" w:hAnsi="黑体" w:hint="eastAsia"/>
                <w:szCs w:val="21"/>
              </w:rPr>
              <w:t xml:space="preserve">    </w:t>
            </w:r>
          </w:p>
          <w:p w:rsidR="00C72C96" w:rsidRPr="00C72C96" w:rsidRDefault="004F4DF8" w:rsidP="00C72C96">
            <w:pPr>
              <w:numPr>
                <w:ilvl w:val="0"/>
                <w:numId w:val="1"/>
              </w:numPr>
              <w:rPr>
                <w:rFonts w:ascii="黑体" w:eastAsia="黑体" w:hAnsi="黑体"/>
                <w:szCs w:val="21"/>
              </w:rPr>
            </w:pPr>
            <w:r>
              <w:rPr>
                <w:rFonts w:ascii="黑体" w:eastAsia="黑体" w:hAnsi="黑体" w:hint="eastAsia"/>
                <w:szCs w:val="21"/>
              </w:rPr>
              <w:t>固定资产营运能力通过固定资产周转天数和固定资产周转率等指标表示。</w:t>
            </w:r>
          </w:p>
          <w:p w:rsidR="00C72C96" w:rsidRPr="00C72C96" w:rsidRDefault="004F4DF8" w:rsidP="00C72C96">
            <w:pPr>
              <w:rPr>
                <w:rFonts w:ascii="黑体" w:eastAsia="黑体" w:hAnsi="黑体"/>
                <w:szCs w:val="21"/>
              </w:rPr>
            </w:pPr>
            <w:r>
              <w:rPr>
                <w:rFonts w:ascii="黑体" w:eastAsia="黑体" w:hAnsi="黑体" w:hint="eastAsia"/>
                <w:szCs w:val="21"/>
              </w:rPr>
              <w:t>4.总资产营运能力通过总资产周转天数和总资产周转率等指标表示。</w:t>
            </w:r>
          </w:p>
          <w:p w:rsidR="00C72C96" w:rsidRPr="00C72C96" w:rsidRDefault="00C72C96" w:rsidP="00AE581F">
            <w:pPr>
              <w:ind w:firstLineChars="200" w:firstLine="420"/>
              <w:jc w:val="center"/>
              <w:rPr>
                <w:rFonts w:ascii="黑体" w:eastAsia="黑体" w:hAnsi="黑体"/>
                <w:szCs w:val="21"/>
              </w:rPr>
            </w:pPr>
          </w:p>
        </w:tc>
        <w:tc>
          <w:tcPr>
            <w:tcW w:w="1850" w:type="dxa"/>
            <w:tcBorders>
              <w:left w:val="dotDotDash" w:sz="4" w:space="0" w:color="auto"/>
              <w:right w:val="single" w:sz="4" w:space="0" w:color="auto"/>
            </w:tcBorders>
          </w:tcPr>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4F4DF8" w:rsidP="00AE581F">
            <w:pPr>
              <w:rPr>
                <w:rFonts w:ascii="黑体" w:eastAsia="黑体" w:hAnsi="黑体"/>
                <w:szCs w:val="21"/>
              </w:rPr>
            </w:pPr>
            <w:r>
              <w:rPr>
                <w:rFonts w:ascii="黑体" w:eastAsia="黑体" w:hAnsi="黑体" w:hint="eastAsia"/>
                <w:szCs w:val="21"/>
              </w:rPr>
              <w:t>小组讨论营运能力可以从哪几个方面分析？</w:t>
            </w: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jc w:val="left"/>
              <w:rPr>
                <w:rFonts w:ascii="黑体" w:eastAsia="黑体" w:hAnsi="黑体"/>
                <w:szCs w:val="21"/>
              </w:rPr>
            </w:pPr>
          </w:p>
          <w:p w:rsidR="00C72C96" w:rsidRPr="00C72C96" w:rsidRDefault="00C72C96" w:rsidP="00AE581F">
            <w:pPr>
              <w:jc w:val="left"/>
              <w:rPr>
                <w:rFonts w:ascii="黑体" w:eastAsia="黑体" w:hAnsi="黑体"/>
                <w:szCs w:val="21"/>
              </w:rPr>
            </w:pPr>
          </w:p>
          <w:p w:rsidR="00C72C96" w:rsidRPr="00C72C96" w:rsidRDefault="00C72C96" w:rsidP="00AE581F">
            <w:pPr>
              <w:jc w:val="left"/>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C72C96" w:rsidP="00AE581F">
            <w:pPr>
              <w:rPr>
                <w:rFonts w:ascii="黑体" w:eastAsia="黑体" w:hAnsi="黑体"/>
                <w:szCs w:val="21"/>
              </w:rPr>
            </w:pPr>
          </w:p>
          <w:p w:rsidR="00C72C96" w:rsidRPr="00C72C96" w:rsidRDefault="004F4DF8" w:rsidP="00AE581F">
            <w:pPr>
              <w:rPr>
                <w:rFonts w:ascii="黑体" w:eastAsia="黑体" w:hAnsi="黑体"/>
                <w:szCs w:val="21"/>
              </w:rPr>
            </w:pPr>
            <w:r>
              <w:rPr>
                <w:rFonts w:ascii="黑体" w:eastAsia="黑体" w:hAnsi="黑体" w:hint="eastAsia"/>
                <w:szCs w:val="21"/>
              </w:rPr>
              <w:t>结合各营运能力指标讨论有哪些需要注意的问题。</w:t>
            </w:r>
          </w:p>
        </w:tc>
      </w:tr>
    </w:tbl>
    <w:p w:rsidR="00D4775B" w:rsidRPr="00C72C96" w:rsidRDefault="00D4775B" w:rsidP="00BF4084">
      <w:pPr>
        <w:ind w:firstLine="420"/>
      </w:pPr>
    </w:p>
    <w:sectPr w:rsidR="00D4775B" w:rsidRPr="00C72C96" w:rsidSect="0014276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CF41AD"/>
    <w:multiLevelType w:val="multilevel"/>
    <w:tmpl w:val="B79EAB6C"/>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72C96"/>
    <w:rsid w:val="0014276D"/>
    <w:rsid w:val="00316703"/>
    <w:rsid w:val="003D30A2"/>
    <w:rsid w:val="00424C4A"/>
    <w:rsid w:val="004F4DF8"/>
    <w:rsid w:val="00591DEA"/>
    <w:rsid w:val="006E02B3"/>
    <w:rsid w:val="00B55B82"/>
    <w:rsid w:val="00B65372"/>
    <w:rsid w:val="00BA434D"/>
    <w:rsid w:val="00BF4084"/>
    <w:rsid w:val="00BF7D17"/>
    <w:rsid w:val="00C01944"/>
    <w:rsid w:val="00C5172A"/>
    <w:rsid w:val="00C5365C"/>
    <w:rsid w:val="00C72C96"/>
    <w:rsid w:val="00CE141D"/>
    <w:rsid w:val="00D4775B"/>
    <w:rsid w:val="00E13B2B"/>
    <w:rsid w:val="00E74632"/>
    <w:rsid w:val="00E76F15"/>
    <w:rsid w:val="00EE5A77"/>
    <w:rsid w:val="00FA1C8A"/>
    <w:rsid w:val="00FB4E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en-US" w:bidi="en-US"/>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C96"/>
    <w:pPr>
      <w:widowControl w:val="0"/>
      <w:spacing w:line="240" w:lineRule="auto"/>
      <w:ind w:firstLineChars="0" w:firstLine="0"/>
    </w:pPr>
    <w:rPr>
      <w:rFonts w:ascii="Times New Roman" w:eastAsia="宋体" w:hAnsi="Times New Roman" w:cs="Times New Roman"/>
      <w:szCs w:val="24"/>
      <w:lang w:eastAsia="zh-CN" w:bidi="ar-SA"/>
    </w:rPr>
  </w:style>
  <w:style w:type="paragraph" w:styleId="1">
    <w:name w:val="heading 1"/>
    <w:basedOn w:val="a"/>
    <w:next w:val="a"/>
    <w:link w:val="1Char"/>
    <w:uiPriority w:val="9"/>
    <w:qFormat/>
    <w:rsid w:val="00C01944"/>
    <w:pPr>
      <w:widowControl/>
      <w:spacing w:before="480" w:line="312" w:lineRule="auto"/>
      <w:ind w:firstLineChars="200" w:firstLine="200"/>
      <w:contextualSpacing/>
      <w:outlineLvl w:val="0"/>
    </w:pPr>
    <w:rPr>
      <w:rFonts w:asciiTheme="majorHAnsi" w:eastAsiaTheme="majorEastAsia" w:hAnsiTheme="majorHAnsi" w:cstheme="majorBidi"/>
      <w:b/>
      <w:bCs/>
      <w:sz w:val="28"/>
      <w:szCs w:val="28"/>
      <w:lang w:eastAsia="en-US" w:bidi="en-US"/>
    </w:rPr>
  </w:style>
  <w:style w:type="paragraph" w:styleId="2">
    <w:name w:val="heading 2"/>
    <w:basedOn w:val="a"/>
    <w:next w:val="a"/>
    <w:link w:val="2Char"/>
    <w:uiPriority w:val="9"/>
    <w:unhideWhenUsed/>
    <w:qFormat/>
    <w:rsid w:val="00C01944"/>
    <w:pPr>
      <w:widowControl/>
      <w:spacing w:before="200" w:line="312" w:lineRule="auto"/>
      <w:ind w:firstLineChars="200" w:firstLine="200"/>
      <w:outlineLvl w:val="1"/>
    </w:pPr>
    <w:rPr>
      <w:rFonts w:asciiTheme="majorHAnsi" w:eastAsiaTheme="majorEastAsia" w:hAnsiTheme="majorHAnsi" w:cstheme="majorBidi"/>
      <w:b/>
      <w:bCs/>
      <w:sz w:val="26"/>
      <w:szCs w:val="26"/>
      <w:lang w:eastAsia="en-US" w:bidi="en-US"/>
    </w:rPr>
  </w:style>
  <w:style w:type="paragraph" w:styleId="3">
    <w:name w:val="heading 3"/>
    <w:basedOn w:val="a"/>
    <w:next w:val="a"/>
    <w:link w:val="3Char"/>
    <w:uiPriority w:val="9"/>
    <w:unhideWhenUsed/>
    <w:qFormat/>
    <w:rsid w:val="00C01944"/>
    <w:pPr>
      <w:widowControl/>
      <w:spacing w:before="200" w:line="271" w:lineRule="auto"/>
      <w:ind w:firstLineChars="200" w:firstLine="200"/>
      <w:outlineLvl w:val="2"/>
    </w:pPr>
    <w:rPr>
      <w:rFonts w:asciiTheme="majorHAnsi" w:eastAsiaTheme="majorEastAsia" w:hAnsiTheme="majorHAnsi" w:cstheme="majorBidi"/>
      <w:b/>
      <w:bCs/>
      <w:lang w:eastAsia="en-US" w:bidi="en-US"/>
    </w:rPr>
  </w:style>
  <w:style w:type="paragraph" w:styleId="4">
    <w:name w:val="heading 4"/>
    <w:basedOn w:val="a"/>
    <w:next w:val="a"/>
    <w:link w:val="4Char"/>
    <w:uiPriority w:val="9"/>
    <w:unhideWhenUsed/>
    <w:qFormat/>
    <w:rsid w:val="00C5172A"/>
    <w:pPr>
      <w:widowControl/>
      <w:spacing w:before="200" w:line="312" w:lineRule="auto"/>
      <w:ind w:firstLineChars="200" w:firstLine="442"/>
      <w:outlineLvl w:val="3"/>
    </w:pPr>
    <w:rPr>
      <w:rFonts w:asciiTheme="majorHAnsi" w:eastAsiaTheme="majorEastAsia" w:hAnsiTheme="majorHAnsi" w:cstheme="majorBidi"/>
      <w:b/>
      <w:bCs/>
      <w:iCs/>
      <w:kern w:val="0"/>
      <w:sz w:val="22"/>
      <w:lang w:eastAsia="en-US" w:bidi="en-US"/>
    </w:rPr>
  </w:style>
  <w:style w:type="paragraph" w:styleId="5">
    <w:name w:val="heading 5"/>
    <w:basedOn w:val="a"/>
    <w:next w:val="a"/>
    <w:link w:val="5Char"/>
    <w:uiPriority w:val="9"/>
    <w:unhideWhenUsed/>
    <w:qFormat/>
    <w:rsid w:val="00C5172A"/>
    <w:pPr>
      <w:widowControl/>
      <w:spacing w:before="200" w:line="312" w:lineRule="auto"/>
      <w:ind w:firstLineChars="200" w:firstLine="200"/>
      <w:outlineLvl w:val="4"/>
    </w:pPr>
    <w:rPr>
      <w:rFonts w:asciiTheme="majorHAnsi" w:eastAsiaTheme="majorEastAsia" w:hAnsiTheme="majorHAnsi" w:cstheme="majorBidi"/>
      <w:b/>
      <w:bCs/>
      <w:color w:val="000000" w:themeColor="text1"/>
      <w:kern w:val="0"/>
      <w:sz w:val="22"/>
      <w:lang w:eastAsia="en-US" w:bidi="en-US"/>
    </w:rPr>
  </w:style>
  <w:style w:type="paragraph" w:styleId="6">
    <w:name w:val="heading 6"/>
    <w:basedOn w:val="a"/>
    <w:next w:val="a"/>
    <w:link w:val="6Char"/>
    <w:uiPriority w:val="9"/>
    <w:semiHidden/>
    <w:unhideWhenUsed/>
    <w:qFormat/>
    <w:rsid w:val="00C01944"/>
    <w:pPr>
      <w:widowControl/>
      <w:spacing w:line="271" w:lineRule="auto"/>
      <w:ind w:firstLineChars="200" w:firstLine="200"/>
      <w:outlineLvl w:val="5"/>
    </w:pPr>
    <w:rPr>
      <w:rFonts w:asciiTheme="majorHAnsi" w:eastAsiaTheme="majorEastAsia" w:hAnsiTheme="majorHAnsi" w:cstheme="majorBidi"/>
      <w:b/>
      <w:bCs/>
      <w:i/>
      <w:iCs/>
      <w:color w:val="7F7F7F" w:themeColor="text1" w:themeTint="80"/>
      <w:lang w:eastAsia="en-US" w:bidi="en-US"/>
    </w:rPr>
  </w:style>
  <w:style w:type="paragraph" w:styleId="7">
    <w:name w:val="heading 7"/>
    <w:basedOn w:val="a"/>
    <w:next w:val="a"/>
    <w:link w:val="7Char"/>
    <w:uiPriority w:val="9"/>
    <w:semiHidden/>
    <w:unhideWhenUsed/>
    <w:qFormat/>
    <w:rsid w:val="00C01944"/>
    <w:pPr>
      <w:widowControl/>
      <w:spacing w:line="312" w:lineRule="auto"/>
      <w:ind w:firstLineChars="200" w:firstLine="200"/>
      <w:outlineLvl w:val="6"/>
    </w:pPr>
    <w:rPr>
      <w:rFonts w:asciiTheme="majorHAnsi" w:eastAsiaTheme="majorEastAsia" w:hAnsiTheme="majorHAnsi" w:cstheme="majorBidi"/>
      <w:i/>
      <w:iCs/>
      <w:lang w:eastAsia="en-US" w:bidi="en-US"/>
    </w:rPr>
  </w:style>
  <w:style w:type="paragraph" w:styleId="8">
    <w:name w:val="heading 8"/>
    <w:basedOn w:val="a"/>
    <w:next w:val="a"/>
    <w:link w:val="8Char"/>
    <w:uiPriority w:val="9"/>
    <w:semiHidden/>
    <w:unhideWhenUsed/>
    <w:qFormat/>
    <w:rsid w:val="00C01944"/>
    <w:pPr>
      <w:widowControl/>
      <w:spacing w:line="312" w:lineRule="auto"/>
      <w:ind w:firstLineChars="200" w:firstLine="200"/>
      <w:outlineLvl w:val="7"/>
    </w:pPr>
    <w:rPr>
      <w:rFonts w:asciiTheme="majorHAnsi" w:eastAsiaTheme="majorEastAsia" w:hAnsiTheme="majorHAnsi" w:cstheme="majorBidi"/>
      <w:sz w:val="20"/>
      <w:szCs w:val="20"/>
      <w:lang w:eastAsia="en-US" w:bidi="en-US"/>
    </w:rPr>
  </w:style>
  <w:style w:type="paragraph" w:styleId="9">
    <w:name w:val="heading 9"/>
    <w:basedOn w:val="a"/>
    <w:next w:val="a"/>
    <w:link w:val="9Char"/>
    <w:uiPriority w:val="9"/>
    <w:semiHidden/>
    <w:unhideWhenUsed/>
    <w:qFormat/>
    <w:rsid w:val="00C01944"/>
    <w:pPr>
      <w:widowControl/>
      <w:spacing w:line="312" w:lineRule="auto"/>
      <w:ind w:firstLineChars="200" w:firstLine="200"/>
      <w:outlineLvl w:val="8"/>
    </w:pPr>
    <w:rPr>
      <w:rFonts w:asciiTheme="majorHAnsi" w:eastAsiaTheme="majorEastAsia" w:hAnsiTheme="majorHAnsi" w:cstheme="majorBidi"/>
      <w:i/>
      <w:iCs/>
      <w:spacing w:val="5"/>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C01944"/>
    <w:pPr>
      <w:widowControl/>
      <w:pBdr>
        <w:bottom w:val="single" w:sz="4" w:space="1" w:color="auto"/>
      </w:pBdr>
      <w:ind w:firstLineChars="200" w:firstLine="200"/>
      <w:contextualSpacing/>
    </w:pPr>
    <w:rPr>
      <w:rFonts w:asciiTheme="majorHAnsi" w:eastAsiaTheme="majorEastAsia" w:hAnsiTheme="majorHAnsi" w:cstheme="majorBidi"/>
      <w:spacing w:val="5"/>
      <w:sz w:val="52"/>
      <w:szCs w:val="52"/>
      <w:lang w:eastAsia="en-US" w:bidi="en-US"/>
    </w:rPr>
  </w:style>
  <w:style w:type="character" w:customStyle="1" w:styleId="Char">
    <w:name w:val="标题 Char"/>
    <w:basedOn w:val="a0"/>
    <w:link w:val="a3"/>
    <w:uiPriority w:val="10"/>
    <w:rsid w:val="00C01944"/>
    <w:rPr>
      <w:rFonts w:asciiTheme="majorHAnsi" w:eastAsiaTheme="majorEastAsia" w:hAnsiTheme="majorHAnsi" w:cstheme="majorBidi"/>
      <w:spacing w:val="5"/>
      <w:sz w:val="52"/>
      <w:szCs w:val="52"/>
    </w:rPr>
  </w:style>
  <w:style w:type="paragraph" w:styleId="a4">
    <w:name w:val="List Paragraph"/>
    <w:basedOn w:val="a"/>
    <w:uiPriority w:val="99"/>
    <w:qFormat/>
    <w:rsid w:val="00C01944"/>
    <w:pPr>
      <w:widowControl/>
      <w:spacing w:line="312" w:lineRule="auto"/>
      <w:ind w:left="720" w:firstLineChars="200" w:firstLine="200"/>
      <w:contextualSpacing/>
    </w:pPr>
    <w:rPr>
      <w:kern w:val="0"/>
      <w:sz w:val="22"/>
      <w:lang w:eastAsia="en-US" w:bidi="en-US"/>
    </w:rPr>
  </w:style>
  <w:style w:type="character" w:customStyle="1" w:styleId="1Char">
    <w:name w:val="标题 1 Char"/>
    <w:basedOn w:val="a0"/>
    <w:link w:val="1"/>
    <w:uiPriority w:val="9"/>
    <w:rsid w:val="00C01944"/>
    <w:rPr>
      <w:rFonts w:asciiTheme="majorHAnsi" w:eastAsiaTheme="majorEastAsia" w:hAnsiTheme="majorHAnsi" w:cstheme="majorBidi"/>
      <w:b/>
      <w:bCs/>
      <w:sz w:val="28"/>
      <w:szCs w:val="28"/>
    </w:rPr>
  </w:style>
  <w:style w:type="character" w:customStyle="1" w:styleId="2Char">
    <w:name w:val="标题 2 Char"/>
    <w:basedOn w:val="a0"/>
    <w:link w:val="2"/>
    <w:uiPriority w:val="9"/>
    <w:rsid w:val="00C01944"/>
    <w:rPr>
      <w:rFonts w:asciiTheme="majorHAnsi" w:eastAsiaTheme="majorEastAsia" w:hAnsiTheme="majorHAnsi" w:cstheme="majorBidi"/>
      <w:b/>
      <w:bCs/>
      <w:sz w:val="26"/>
      <w:szCs w:val="26"/>
    </w:rPr>
  </w:style>
  <w:style w:type="character" w:customStyle="1" w:styleId="3Char">
    <w:name w:val="标题 3 Char"/>
    <w:basedOn w:val="a0"/>
    <w:link w:val="3"/>
    <w:uiPriority w:val="9"/>
    <w:rsid w:val="00C01944"/>
    <w:rPr>
      <w:rFonts w:asciiTheme="majorHAnsi" w:eastAsiaTheme="majorEastAsia" w:hAnsiTheme="majorHAnsi" w:cstheme="majorBidi"/>
      <w:b/>
      <w:bCs/>
    </w:rPr>
  </w:style>
  <w:style w:type="character" w:customStyle="1" w:styleId="4Char">
    <w:name w:val="标题 4 Char"/>
    <w:basedOn w:val="a0"/>
    <w:link w:val="4"/>
    <w:uiPriority w:val="9"/>
    <w:rsid w:val="00C5172A"/>
    <w:rPr>
      <w:rFonts w:asciiTheme="majorHAnsi" w:eastAsiaTheme="majorEastAsia" w:hAnsiTheme="majorHAnsi" w:cstheme="majorBidi"/>
      <w:b/>
      <w:bCs/>
      <w:iCs/>
      <w:kern w:val="0"/>
      <w:sz w:val="22"/>
    </w:rPr>
  </w:style>
  <w:style w:type="character" w:customStyle="1" w:styleId="5Char">
    <w:name w:val="标题 5 Char"/>
    <w:basedOn w:val="a0"/>
    <w:link w:val="5"/>
    <w:uiPriority w:val="9"/>
    <w:rsid w:val="00C5172A"/>
    <w:rPr>
      <w:rFonts w:asciiTheme="majorHAnsi" w:eastAsiaTheme="majorEastAsia" w:hAnsiTheme="majorHAnsi" w:cstheme="majorBidi"/>
      <w:b/>
      <w:bCs/>
      <w:color w:val="000000" w:themeColor="text1"/>
      <w:kern w:val="0"/>
      <w:sz w:val="22"/>
    </w:rPr>
  </w:style>
  <w:style w:type="character" w:customStyle="1" w:styleId="6Char">
    <w:name w:val="标题 6 Char"/>
    <w:basedOn w:val="a0"/>
    <w:link w:val="6"/>
    <w:uiPriority w:val="9"/>
    <w:semiHidden/>
    <w:rsid w:val="00C01944"/>
    <w:rPr>
      <w:rFonts w:asciiTheme="majorHAnsi" w:eastAsiaTheme="majorEastAsia" w:hAnsiTheme="majorHAnsi" w:cstheme="majorBidi"/>
      <w:b/>
      <w:bCs/>
      <w:i/>
      <w:iCs/>
      <w:color w:val="7F7F7F" w:themeColor="text1" w:themeTint="80"/>
    </w:rPr>
  </w:style>
  <w:style w:type="character" w:customStyle="1" w:styleId="7Char">
    <w:name w:val="标题 7 Char"/>
    <w:basedOn w:val="a0"/>
    <w:link w:val="7"/>
    <w:uiPriority w:val="9"/>
    <w:semiHidden/>
    <w:rsid w:val="00C01944"/>
    <w:rPr>
      <w:rFonts w:asciiTheme="majorHAnsi" w:eastAsiaTheme="majorEastAsia" w:hAnsiTheme="majorHAnsi" w:cstheme="majorBidi"/>
      <w:i/>
      <w:iCs/>
    </w:rPr>
  </w:style>
  <w:style w:type="character" w:customStyle="1" w:styleId="8Char">
    <w:name w:val="标题 8 Char"/>
    <w:basedOn w:val="a0"/>
    <w:link w:val="8"/>
    <w:uiPriority w:val="9"/>
    <w:semiHidden/>
    <w:rsid w:val="00C01944"/>
    <w:rPr>
      <w:rFonts w:asciiTheme="majorHAnsi" w:eastAsiaTheme="majorEastAsia" w:hAnsiTheme="majorHAnsi" w:cstheme="majorBidi"/>
      <w:sz w:val="20"/>
      <w:szCs w:val="20"/>
    </w:rPr>
  </w:style>
  <w:style w:type="character" w:customStyle="1" w:styleId="9Char">
    <w:name w:val="标题 9 Char"/>
    <w:basedOn w:val="a0"/>
    <w:link w:val="9"/>
    <w:uiPriority w:val="9"/>
    <w:semiHidden/>
    <w:rsid w:val="00C01944"/>
    <w:rPr>
      <w:rFonts w:asciiTheme="majorHAnsi" w:eastAsiaTheme="majorEastAsia" w:hAnsiTheme="majorHAnsi" w:cstheme="majorBidi"/>
      <w:i/>
      <w:iCs/>
      <w:spacing w:val="5"/>
      <w:sz w:val="20"/>
      <w:szCs w:val="20"/>
    </w:rPr>
  </w:style>
  <w:style w:type="paragraph" w:styleId="a5">
    <w:name w:val="Subtitle"/>
    <w:basedOn w:val="a"/>
    <w:next w:val="a"/>
    <w:link w:val="Char0"/>
    <w:uiPriority w:val="11"/>
    <w:qFormat/>
    <w:rsid w:val="00C01944"/>
    <w:pPr>
      <w:widowControl/>
      <w:spacing w:after="600" w:line="312" w:lineRule="auto"/>
      <w:ind w:firstLineChars="200" w:firstLine="200"/>
    </w:pPr>
    <w:rPr>
      <w:rFonts w:asciiTheme="majorHAnsi" w:eastAsiaTheme="majorEastAsia" w:hAnsiTheme="majorHAnsi" w:cstheme="majorBidi"/>
      <w:i/>
      <w:iCs/>
      <w:spacing w:val="13"/>
      <w:sz w:val="24"/>
      <w:lang w:eastAsia="en-US" w:bidi="en-US"/>
    </w:rPr>
  </w:style>
  <w:style w:type="character" w:customStyle="1" w:styleId="Char0">
    <w:name w:val="副标题 Char"/>
    <w:basedOn w:val="a0"/>
    <w:link w:val="a5"/>
    <w:uiPriority w:val="11"/>
    <w:rsid w:val="00C01944"/>
    <w:rPr>
      <w:rFonts w:asciiTheme="majorHAnsi" w:eastAsiaTheme="majorEastAsia" w:hAnsiTheme="majorHAnsi" w:cstheme="majorBidi"/>
      <w:i/>
      <w:iCs/>
      <w:spacing w:val="13"/>
      <w:sz w:val="24"/>
      <w:szCs w:val="24"/>
    </w:rPr>
  </w:style>
  <w:style w:type="character" w:styleId="a6">
    <w:name w:val="Strong"/>
    <w:uiPriority w:val="22"/>
    <w:qFormat/>
    <w:rsid w:val="00C01944"/>
    <w:rPr>
      <w:b/>
      <w:bCs/>
    </w:rPr>
  </w:style>
  <w:style w:type="character" w:styleId="a7">
    <w:name w:val="Emphasis"/>
    <w:uiPriority w:val="20"/>
    <w:qFormat/>
    <w:rsid w:val="00C01944"/>
    <w:rPr>
      <w:b/>
      <w:bCs/>
      <w:i/>
      <w:iCs/>
      <w:spacing w:val="10"/>
      <w:bdr w:val="none" w:sz="0" w:space="0" w:color="auto"/>
      <w:shd w:val="clear" w:color="auto" w:fill="auto"/>
    </w:rPr>
  </w:style>
  <w:style w:type="paragraph" w:styleId="a8">
    <w:name w:val="No Spacing"/>
    <w:basedOn w:val="a"/>
    <w:uiPriority w:val="1"/>
    <w:qFormat/>
    <w:rsid w:val="00C01944"/>
    <w:pPr>
      <w:widowControl/>
      <w:ind w:firstLineChars="200" w:firstLine="200"/>
    </w:pPr>
    <w:rPr>
      <w:kern w:val="0"/>
      <w:sz w:val="22"/>
      <w:lang w:eastAsia="en-US" w:bidi="en-US"/>
    </w:rPr>
  </w:style>
  <w:style w:type="paragraph" w:styleId="a9">
    <w:name w:val="Quote"/>
    <w:basedOn w:val="a"/>
    <w:next w:val="a"/>
    <w:link w:val="Char1"/>
    <w:uiPriority w:val="29"/>
    <w:qFormat/>
    <w:rsid w:val="00C01944"/>
    <w:pPr>
      <w:widowControl/>
      <w:spacing w:before="200" w:line="312" w:lineRule="auto"/>
      <w:ind w:left="360" w:right="360" w:firstLineChars="200" w:firstLine="200"/>
    </w:pPr>
    <w:rPr>
      <w:i/>
      <w:iCs/>
      <w:lang w:eastAsia="en-US" w:bidi="en-US"/>
    </w:rPr>
  </w:style>
  <w:style w:type="character" w:customStyle="1" w:styleId="Char1">
    <w:name w:val="引用 Char"/>
    <w:basedOn w:val="a0"/>
    <w:link w:val="a9"/>
    <w:uiPriority w:val="29"/>
    <w:rsid w:val="00C01944"/>
    <w:rPr>
      <w:i/>
      <w:iCs/>
    </w:rPr>
  </w:style>
  <w:style w:type="paragraph" w:styleId="aa">
    <w:name w:val="Intense Quote"/>
    <w:basedOn w:val="a"/>
    <w:next w:val="a"/>
    <w:link w:val="Char2"/>
    <w:uiPriority w:val="30"/>
    <w:qFormat/>
    <w:rsid w:val="00C01944"/>
    <w:pPr>
      <w:widowControl/>
      <w:pBdr>
        <w:bottom w:val="single" w:sz="4" w:space="1" w:color="auto"/>
      </w:pBdr>
      <w:spacing w:before="200" w:after="280" w:line="312" w:lineRule="auto"/>
      <w:ind w:left="1008" w:right="1152" w:firstLineChars="200" w:firstLine="200"/>
    </w:pPr>
    <w:rPr>
      <w:b/>
      <w:bCs/>
      <w:i/>
      <w:iCs/>
      <w:lang w:eastAsia="en-US" w:bidi="en-US"/>
    </w:rPr>
  </w:style>
  <w:style w:type="character" w:customStyle="1" w:styleId="Char2">
    <w:name w:val="明显引用 Char"/>
    <w:basedOn w:val="a0"/>
    <w:link w:val="aa"/>
    <w:uiPriority w:val="30"/>
    <w:rsid w:val="00C01944"/>
    <w:rPr>
      <w:b/>
      <w:bCs/>
      <w:i/>
      <w:iCs/>
    </w:rPr>
  </w:style>
  <w:style w:type="character" w:styleId="ab">
    <w:name w:val="Subtle Emphasis"/>
    <w:uiPriority w:val="19"/>
    <w:qFormat/>
    <w:rsid w:val="00C01944"/>
    <w:rPr>
      <w:i/>
      <w:iCs/>
    </w:rPr>
  </w:style>
  <w:style w:type="character" w:styleId="ac">
    <w:name w:val="Intense Emphasis"/>
    <w:uiPriority w:val="21"/>
    <w:qFormat/>
    <w:rsid w:val="00C01944"/>
    <w:rPr>
      <w:b/>
      <w:bCs/>
    </w:rPr>
  </w:style>
  <w:style w:type="character" w:styleId="ad">
    <w:name w:val="Subtle Reference"/>
    <w:uiPriority w:val="31"/>
    <w:qFormat/>
    <w:rsid w:val="00C01944"/>
    <w:rPr>
      <w:smallCaps/>
    </w:rPr>
  </w:style>
  <w:style w:type="character" w:styleId="ae">
    <w:name w:val="Intense Reference"/>
    <w:uiPriority w:val="32"/>
    <w:qFormat/>
    <w:rsid w:val="00C01944"/>
    <w:rPr>
      <w:smallCaps/>
      <w:spacing w:val="5"/>
      <w:u w:val="single"/>
    </w:rPr>
  </w:style>
  <w:style w:type="character" w:styleId="af">
    <w:name w:val="Book Title"/>
    <w:uiPriority w:val="33"/>
    <w:qFormat/>
    <w:rsid w:val="00C01944"/>
    <w:rPr>
      <w:i/>
      <w:iCs/>
      <w:smallCaps/>
      <w:spacing w:val="5"/>
    </w:rPr>
  </w:style>
  <w:style w:type="paragraph" w:styleId="TOC">
    <w:name w:val="TOC Heading"/>
    <w:basedOn w:val="1"/>
    <w:next w:val="a"/>
    <w:uiPriority w:val="39"/>
    <w:semiHidden/>
    <w:unhideWhenUsed/>
    <w:qFormat/>
    <w:rsid w:val="00C01944"/>
    <w:pPr>
      <w:outlineLvl w:val="9"/>
    </w:pPr>
    <w:rPr>
      <w:kern w:val="0"/>
    </w:rPr>
  </w:style>
  <w:style w:type="table" w:styleId="af0">
    <w:name w:val="Table Grid"/>
    <w:basedOn w:val="a1"/>
    <w:uiPriority w:val="99"/>
    <w:unhideWhenUsed/>
    <w:rsid w:val="00C72C96"/>
    <w:pPr>
      <w:spacing w:line="240" w:lineRule="auto"/>
      <w:ind w:firstLineChars="0" w:firstLine="0"/>
      <w:jc w:val="left"/>
    </w:pPr>
    <w:rPr>
      <w:rFonts w:ascii="Calibri" w:eastAsia="Times New Roman" w:hAnsi="Calibri"/>
      <w:szCs w:val="21"/>
      <w:lang w:eastAsia="zh-C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Char3"/>
    <w:uiPriority w:val="99"/>
    <w:semiHidden/>
    <w:unhideWhenUsed/>
    <w:rsid w:val="00C72C96"/>
    <w:rPr>
      <w:sz w:val="18"/>
      <w:szCs w:val="18"/>
    </w:rPr>
  </w:style>
  <w:style w:type="character" w:customStyle="1" w:styleId="Char3">
    <w:name w:val="批注框文本 Char"/>
    <w:basedOn w:val="a0"/>
    <w:link w:val="af1"/>
    <w:uiPriority w:val="99"/>
    <w:semiHidden/>
    <w:rsid w:val="00C72C96"/>
    <w:rPr>
      <w:rFonts w:ascii="Times New Roman" w:eastAsia="宋体" w:hAnsi="Times New Roman" w:cs="Times New Roman"/>
      <w:sz w:val="18"/>
      <w:szCs w:val="18"/>
      <w:lang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1.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hyperlink" Target="http://baike.baidu.com/view/435647.htm" TargetMode="Externa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4.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3.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2.jpeg"/><Relationship Id="rId30" Type="http://schemas.openxmlformats.org/officeDocument/2006/relationships/image" Target="media/image2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931</Words>
  <Characters>5309</Characters>
  <Application>Microsoft Office Word</Application>
  <DocSecurity>0</DocSecurity>
  <Lines>44</Lines>
  <Paragraphs>12</Paragraphs>
  <ScaleCrop>false</ScaleCrop>
  <Company>微软中国</Company>
  <LinksUpToDate>false</LinksUpToDate>
  <CharactersWithSpaces>6228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2016-03-14T14:19:00Z</dcterms:created>
  <dcterms:modified xsi:type="dcterms:W3CDTF">2016-03-17T07:16:00Z</dcterms:modified>
</cp:coreProperties>
</file>