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99E" w:rsidRPr="00F8083B" w:rsidRDefault="006E399E" w:rsidP="006E399E">
      <w:pPr>
        <w:pStyle w:val="a4"/>
        <w:rPr>
          <w:rFonts w:ascii="黑体" w:eastAsia="黑体" w:hAnsi="Cambria"/>
          <w:b w:val="0"/>
          <w:sz w:val="28"/>
          <w:szCs w:val="28"/>
        </w:rPr>
      </w:pPr>
      <w:r w:rsidRPr="00F8083B">
        <w:rPr>
          <w:rFonts w:ascii="黑体" w:eastAsia="黑体" w:hAnsi="Cambria" w:hint="eastAsia"/>
          <w:b w:val="0"/>
          <w:sz w:val="28"/>
          <w:szCs w:val="28"/>
        </w:rPr>
        <w:t xml:space="preserve">第二章 </w:t>
      </w:r>
      <w:r>
        <w:rPr>
          <w:rFonts w:ascii="黑体" w:eastAsia="黑体" w:hAnsi="Cambria" w:hint="eastAsia"/>
          <w:b w:val="0"/>
          <w:sz w:val="28"/>
          <w:szCs w:val="28"/>
        </w:rPr>
        <w:t xml:space="preserve"> </w:t>
      </w:r>
      <w:r w:rsidRPr="00F8083B">
        <w:rPr>
          <w:rFonts w:ascii="黑体" w:eastAsia="黑体" w:hAnsi="Cambria" w:hint="eastAsia"/>
          <w:b w:val="0"/>
          <w:sz w:val="28"/>
          <w:szCs w:val="28"/>
        </w:rPr>
        <w:t>资产负债表分析</w:t>
      </w:r>
    </w:p>
    <w:p w:rsidR="00BB14C1" w:rsidRPr="006E399E" w:rsidRDefault="006E399E">
      <w:pPr>
        <w:rPr>
          <w:sz w:val="28"/>
          <w:szCs w:val="28"/>
        </w:rPr>
      </w:pPr>
      <w:r w:rsidRPr="006E399E">
        <w:rPr>
          <w:rFonts w:hint="eastAsia"/>
          <w:sz w:val="28"/>
          <w:szCs w:val="28"/>
        </w:rPr>
        <w:t>案例：</w:t>
      </w:r>
    </w:p>
    <w:p w:rsidR="006E399E" w:rsidRPr="006E399E" w:rsidRDefault="006E399E">
      <w:pPr>
        <w:rPr>
          <w:sz w:val="28"/>
          <w:szCs w:val="28"/>
        </w:rPr>
      </w:pPr>
      <w:r w:rsidRPr="006E399E">
        <w:rPr>
          <w:rFonts w:hint="eastAsia"/>
          <w:sz w:val="28"/>
          <w:szCs w:val="28"/>
        </w:rPr>
        <w:t>A</w:t>
      </w:r>
      <w:r w:rsidRPr="006E399E">
        <w:rPr>
          <w:rFonts w:hint="eastAsia"/>
          <w:sz w:val="28"/>
          <w:szCs w:val="28"/>
        </w:rPr>
        <w:t>公司</w:t>
      </w:r>
      <w:r w:rsidRPr="006E399E">
        <w:rPr>
          <w:rFonts w:hint="eastAsia"/>
          <w:sz w:val="28"/>
          <w:szCs w:val="28"/>
        </w:rPr>
        <w:t>2013</w:t>
      </w:r>
      <w:r w:rsidRPr="006E399E">
        <w:rPr>
          <w:rFonts w:hint="eastAsia"/>
          <w:sz w:val="28"/>
          <w:szCs w:val="28"/>
        </w:rPr>
        <w:t>年与</w:t>
      </w:r>
      <w:r w:rsidRPr="006E399E">
        <w:rPr>
          <w:rFonts w:hint="eastAsia"/>
          <w:sz w:val="28"/>
          <w:szCs w:val="28"/>
        </w:rPr>
        <w:t>2014</w:t>
      </w:r>
      <w:r w:rsidRPr="006E399E">
        <w:rPr>
          <w:rFonts w:hint="eastAsia"/>
          <w:sz w:val="28"/>
          <w:szCs w:val="28"/>
        </w:rPr>
        <w:t>年度的资产负债表如表</w:t>
      </w:r>
      <w:r w:rsidRPr="006E399E">
        <w:rPr>
          <w:rFonts w:hint="eastAsia"/>
          <w:sz w:val="28"/>
          <w:szCs w:val="28"/>
        </w:rPr>
        <w:t>2-1</w:t>
      </w:r>
      <w:r w:rsidRPr="006E399E">
        <w:rPr>
          <w:rFonts w:hint="eastAsia"/>
          <w:sz w:val="28"/>
          <w:szCs w:val="28"/>
        </w:rPr>
        <w:t>所示。</w:t>
      </w:r>
    </w:p>
    <w:p w:rsidR="006E399E" w:rsidRPr="006E399E" w:rsidRDefault="006E399E" w:rsidP="006E399E">
      <w:pPr>
        <w:ind w:firstLineChars="1050" w:firstLine="2940"/>
        <w:rPr>
          <w:sz w:val="28"/>
          <w:szCs w:val="28"/>
        </w:rPr>
      </w:pPr>
      <w:r w:rsidRPr="006E399E">
        <w:rPr>
          <w:rFonts w:hint="eastAsia"/>
          <w:sz w:val="28"/>
          <w:szCs w:val="28"/>
        </w:rPr>
        <w:t>表</w:t>
      </w:r>
      <w:r w:rsidRPr="006E399E">
        <w:rPr>
          <w:rFonts w:hint="eastAsia"/>
          <w:sz w:val="28"/>
          <w:szCs w:val="28"/>
        </w:rPr>
        <w:t>2-1 A</w:t>
      </w:r>
      <w:r w:rsidRPr="006E399E">
        <w:rPr>
          <w:rFonts w:hint="eastAsia"/>
          <w:sz w:val="28"/>
          <w:szCs w:val="28"/>
        </w:rPr>
        <w:t>公司资产负债表</w:t>
      </w:r>
      <w:r w:rsidRPr="006E399E">
        <w:rPr>
          <w:rFonts w:hint="eastAsia"/>
          <w:sz w:val="28"/>
          <w:szCs w:val="28"/>
        </w:rPr>
        <w:t xml:space="preserve">       </w:t>
      </w:r>
      <w:r w:rsidRPr="006E399E">
        <w:rPr>
          <w:rFonts w:hint="eastAsia"/>
          <w:sz w:val="28"/>
          <w:szCs w:val="28"/>
        </w:rPr>
        <w:t>单位：元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18"/>
        <w:gridCol w:w="2153"/>
        <w:gridCol w:w="2151"/>
      </w:tblGrid>
      <w:tr w:rsidR="006E399E" w:rsidRPr="006E399E" w:rsidTr="00F077CC">
        <w:trPr>
          <w:trHeight w:val="270"/>
          <w:jc w:val="center"/>
        </w:trPr>
        <w:tc>
          <w:tcPr>
            <w:tcW w:w="2475" w:type="pct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ind w:firstLineChars="350" w:firstLine="98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年份</w:t>
            </w:r>
          </w:p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126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2013年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2014年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货币资金</w:t>
            </w:r>
          </w:p>
        </w:tc>
        <w:tc>
          <w:tcPr>
            <w:tcW w:w="126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85732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93290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交易性金融资产</w:t>
            </w:r>
          </w:p>
        </w:tc>
        <w:tc>
          <w:tcPr>
            <w:tcW w:w="126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7600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8200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应收票据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6590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5900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应收账款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16800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16500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预收账款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17000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13400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存货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122381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130550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其他流动资产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25202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32179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流动资产合计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281305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300019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长期投资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3437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5000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固定资产净额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541900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533950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无形资产及其他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67220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68600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非流动资产合计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612557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607550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资产总额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893862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907569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短期借款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8600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7000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应付账款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46500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36400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应付职工薪酬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15400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12600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应交税费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8462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4600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流动负债合计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156362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123600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长期借款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100000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150000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实收资本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500000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500000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资本公积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26481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28963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</w:tcPr>
          <w:p w:rsidR="006E399E" w:rsidRPr="006E399E" w:rsidRDefault="006E399E">
            <w:pPr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6E399E">
              <w:rPr>
                <w:rFonts w:hint="eastAsia"/>
                <w:color w:val="000000"/>
                <w:sz w:val="28"/>
                <w:szCs w:val="28"/>
              </w:rPr>
              <w:t>盈余公积</w:t>
            </w:r>
          </w:p>
        </w:tc>
        <w:tc>
          <w:tcPr>
            <w:tcW w:w="1263" w:type="pct"/>
            <w:shd w:val="clear" w:color="auto" w:fill="auto"/>
            <w:noWrap/>
            <w:vAlign w:val="center"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15874</w:t>
            </w:r>
          </w:p>
        </w:tc>
        <w:tc>
          <w:tcPr>
            <w:tcW w:w="1263" w:type="pct"/>
            <w:shd w:val="clear" w:color="auto" w:fill="auto"/>
            <w:noWrap/>
            <w:vAlign w:val="center"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16894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未分配利润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95145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88112</w:t>
            </w:r>
          </w:p>
        </w:tc>
      </w:tr>
      <w:tr w:rsidR="006E399E" w:rsidRPr="006E399E" w:rsidTr="00F077CC">
        <w:trPr>
          <w:trHeight w:val="270"/>
          <w:jc w:val="center"/>
        </w:trPr>
        <w:tc>
          <w:tcPr>
            <w:tcW w:w="2475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负债和所有者权益合计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893862</w:t>
            </w:r>
          </w:p>
        </w:tc>
        <w:tc>
          <w:tcPr>
            <w:tcW w:w="126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907569</w:t>
            </w:r>
          </w:p>
        </w:tc>
      </w:tr>
    </w:tbl>
    <w:p w:rsidR="006E399E" w:rsidRPr="006E399E" w:rsidRDefault="006E399E">
      <w:pPr>
        <w:rPr>
          <w:sz w:val="28"/>
          <w:szCs w:val="28"/>
        </w:rPr>
      </w:pPr>
      <w:r w:rsidRPr="006E399E">
        <w:rPr>
          <w:rFonts w:hint="eastAsia"/>
          <w:sz w:val="28"/>
          <w:szCs w:val="28"/>
        </w:rPr>
        <w:t>要求：编制资产负债表水平分析表和垂直分析表，对公司的财务状况作简要评述。</w:t>
      </w:r>
    </w:p>
    <w:p w:rsidR="006E399E" w:rsidRPr="006E399E" w:rsidRDefault="006E399E">
      <w:pPr>
        <w:rPr>
          <w:sz w:val="28"/>
          <w:szCs w:val="28"/>
        </w:rPr>
      </w:pPr>
      <w:r w:rsidRPr="006E399E">
        <w:rPr>
          <w:rFonts w:hint="eastAsia"/>
          <w:sz w:val="28"/>
          <w:szCs w:val="28"/>
        </w:rPr>
        <w:t>参考答案：</w:t>
      </w:r>
    </w:p>
    <w:p w:rsidR="006E399E" w:rsidRPr="006E399E" w:rsidRDefault="006E399E">
      <w:pPr>
        <w:rPr>
          <w:sz w:val="28"/>
          <w:szCs w:val="28"/>
        </w:rPr>
      </w:pPr>
      <w:r w:rsidRPr="006E399E">
        <w:rPr>
          <w:rFonts w:hint="eastAsia"/>
          <w:sz w:val="28"/>
          <w:szCs w:val="28"/>
        </w:rPr>
        <w:t>1.A</w:t>
      </w:r>
      <w:r w:rsidRPr="006E399E">
        <w:rPr>
          <w:rFonts w:hint="eastAsia"/>
          <w:sz w:val="28"/>
          <w:szCs w:val="28"/>
        </w:rPr>
        <w:t>公司资产负债表横向分析表如表</w:t>
      </w:r>
      <w:r w:rsidRPr="006E399E">
        <w:rPr>
          <w:rFonts w:hint="eastAsia"/>
          <w:sz w:val="28"/>
          <w:szCs w:val="28"/>
        </w:rPr>
        <w:t>2-2</w:t>
      </w:r>
      <w:r w:rsidRPr="006E399E">
        <w:rPr>
          <w:rFonts w:hint="eastAsia"/>
          <w:sz w:val="28"/>
          <w:szCs w:val="28"/>
        </w:rPr>
        <w:t>所示：</w:t>
      </w:r>
    </w:p>
    <w:p w:rsidR="006E399E" w:rsidRPr="006E399E" w:rsidRDefault="006E399E" w:rsidP="006E399E">
      <w:pPr>
        <w:ind w:firstLineChars="750" w:firstLine="2100"/>
        <w:rPr>
          <w:sz w:val="28"/>
          <w:szCs w:val="28"/>
        </w:rPr>
      </w:pPr>
      <w:r w:rsidRPr="006E399E">
        <w:rPr>
          <w:rFonts w:hint="eastAsia"/>
          <w:sz w:val="28"/>
          <w:szCs w:val="28"/>
        </w:rPr>
        <w:t>表</w:t>
      </w:r>
      <w:r w:rsidRPr="006E399E">
        <w:rPr>
          <w:rFonts w:hint="eastAsia"/>
          <w:sz w:val="28"/>
          <w:szCs w:val="28"/>
        </w:rPr>
        <w:t>2-2 A</w:t>
      </w:r>
      <w:r w:rsidRPr="006E399E">
        <w:rPr>
          <w:rFonts w:hint="eastAsia"/>
          <w:sz w:val="28"/>
          <w:szCs w:val="28"/>
        </w:rPr>
        <w:t>公司资产负债表横向分析表</w:t>
      </w:r>
      <w:r w:rsidRPr="006E399E">
        <w:rPr>
          <w:rFonts w:hint="eastAsia"/>
          <w:sz w:val="28"/>
          <w:szCs w:val="28"/>
        </w:rPr>
        <w:t xml:space="preserve">             </w:t>
      </w:r>
      <w:r w:rsidRPr="006E399E">
        <w:rPr>
          <w:rFonts w:hint="eastAsia"/>
          <w:sz w:val="28"/>
          <w:szCs w:val="28"/>
        </w:rPr>
        <w:t>单位：元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30"/>
        <w:gridCol w:w="1255"/>
        <w:gridCol w:w="1255"/>
        <w:gridCol w:w="1226"/>
        <w:gridCol w:w="1756"/>
      </w:tblGrid>
      <w:tr w:rsidR="006E399E" w:rsidRPr="006E399E" w:rsidTr="00F077CC">
        <w:trPr>
          <w:trHeight w:val="270"/>
        </w:trPr>
        <w:tc>
          <w:tcPr>
            <w:tcW w:w="1801" w:type="pct"/>
            <w:vMerge w:val="restar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0" w:colLast="4"/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760" w:type="pct"/>
            <w:vMerge w:val="restar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2013年</w:t>
            </w:r>
          </w:p>
        </w:tc>
        <w:tc>
          <w:tcPr>
            <w:tcW w:w="760" w:type="pct"/>
            <w:vMerge w:val="restar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2014年</w:t>
            </w:r>
          </w:p>
        </w:tc>
        <w:tc>
          <w:tcPr>
            <w:tcW w:w="1680" w:type="pct"/>
            <w:gridSpan w:val="2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增减变动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vMerge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0" w:type="pct"/>
            <w:vMerge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0" w:type="pct"/>
            <w:vMerge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金额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百分比（%）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货币资金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85732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93290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7558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8.82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交易性金融资产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7600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8200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600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7.89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应收票据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6590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5900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-690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-10.47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应收账款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16800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16500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-300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-1.79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预收账款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17000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13400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-3600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-21.18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存货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122381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130550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8169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6.68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其他流动资产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25202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32179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6977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27.68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流动资产合计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281305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300019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18714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6.65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长期投资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3437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5000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1563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45.48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固定资产净额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541900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533950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-7950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-1.47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无形资产及其他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67220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68600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1380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2.05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非流动资产合计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612557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607550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-5007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-0.82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资产总额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893862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907569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13707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1.53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短期借款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86000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70000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-16000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-18.60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应付账款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46500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36400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-10100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-21.72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应付职工薪酬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15400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12600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-2800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-18.18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应交税费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8462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4600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-3862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-45.64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流动负债合计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156362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123600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-32762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-20.95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长期借款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100000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150000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50000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50.00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实收资本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500000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500000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0.00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资本公积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26481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28963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2482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9.37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盈余公积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15874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16894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1020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6.43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未分配利润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95145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88112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-7033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-7.39</w:t>
            </w:r>
          </w:p>
        </w:tc>
      </w:tr>
      <w:tr w:rsidR="006E399E" w:rsidRPr="006E399E" w:rsidTr="00F077CC">
        <w:trPr>
          <w:trHeight w:val="270"/>
        </w:trPr>
        <w:tc>
          <w:tcPr>
            <w:tcW w:w="180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负债和所有者权益合计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893862</w:t>
            </w:r>
          </w:p>
        </w:tc>
        <w:tc>
          <w:tcPr>
            <w:tcW w:w="760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907569</w:t>
            </w:r>
          </w:p>
        </w:tc>
        <w:tc>
          <w:tcPr>
            <w:tcW w:w="74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13707</w:t>
            </w:r>
          </w:p>
        </w:tc>
        <w:tc>
          <w:tcPr>
            <w:tcW w:w="938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1.53</w:t>
            </w:r>
          </w:p>
        </w:tc>
      </w:tr>
    </w:tbl>
    <w:bookmarkEnd w:id="0"/>
    <w:p w:rsidR="006E399E" w:rsidRPr="006E399E" w:rsidRDefault="006E399E" w:rsidP="006E399E">
      <w:pPr>
        <w:rPr>
          <w:sz w:val="28"/>
          <w:szCs w:val="28"/>
        </w:rPr>
      </w:pPr>
      <w:r w:rsidRPr="006E399E">
        <w:rPr>
          <w:rFonts w:hint="eastAsia"/>
          <w:sz w:val="28"/>
          <w:szCs w:val="28"/>
        </w:rPr>
        <w:t>2. A</w:t>
      </w:r>
      <w:r w:rsidRPr="006E399E">
        <w:rPr>
          <w:rFonts w:hint="eastAsia"/>
          <w:sz w:val="28"/>
          <w:szCs w:val="28"/>
        </w:rPr>
        <w:t>公司资产负债表横向分析表如表</w:t>
      </w:r>
      <w:r w:rsidRPr="006E399E">
        <w:rPr>
          <w:rFonts w:hint="eastAsia"/>
          <w:sz w:val="28"/>
          <w:szCs w:val="28"/>
        </w:rPr>
        <w:t>2-3</w:t>
      </w:r>
      <w:r w:rsidRPr="006E399E">
        <w:rPr>
          <w:rFonts w:hint="eastAsia"/>
          <w:sz w:val="28"/>
          <w:szCs w:val="28"/>
        </w:rPr>
        <w:t>所示：</w:t>
      </w:r>
    </w:p>
    <w:p w:rsidR="006E399E" w:rsidRPr="006E399E" w:rsidRDefault="006E399E" w:rsidP="006E399E">
      <w:pPr>
        <w:ind w:firstLineChars="950" w:firstLine="2660"/>
        <w:rPr>
          <w:sz w:val="28"/>
          <w:szCs w:val="28"/>
        </w:rPr>
      </w:pPr>
      <w:r w:rsidRPr="006E399E">
        <w:rPr>
          <w:rFonts w:hint="eastAsia"/>
          <w:sz w:val="28"/>
          <w:szCs w:val="28"/>
        </w:rPr>
        <w:t>表</w:t>
      </w:r>
      <w:r w:rsidRPr="006E399E">
        <w:rPr>
          <w:rFonts w:hint="eastAsia"/>
          <w:sz w:val="28"/>
          <w:szCs w:val="28"/>
        </w:rPr>
        <w:t>2-3 A</w:t>
      </w:r>
      <w:r w:rsidRPr="006E399E">
        <w:rPr>
          <w:rFonts w:hint="eastAsia"/>
          <w:sz w:val="28"/>
          <w:szCs w:val="28"/>
        </w:rPr>
        <w:t>公司资产负债表垂直分析表</w:t>
      </w:r>
      <w:r w:rsidRPr="006E399E">
        <w:rPr>
          <w:rFonts w:hint="eastAsia"/>
          <w:sz w:val="28"/>
          <w:szCs w:val="28"/>
        </w:rPr>
        <w:t xml:space="preserve">     </w:t>
      </w:r>
      <w:r w:rsidRPr="006E399E">
        <w:rPr>
          <w:rFonts w:hint="eastAsia"/>
          <w:sz w:val="28"/>
          <w:szCs w:val="28"/>
        </w:rPr>
        <w:t>单位：</w:t>
      </w:r>
      <w:r w:rsidRPr="006E399E">
        <w:rPr>
          <w:rFonts w:hint="eastAsia"/>
          <w:sz w:val="28"/>
          <w:szCs w:val="28"/>
        </w:rPr>
        <w:lastRenderedPageBreak/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56"/>
        <w:gridCol w:w="1331"/>
        <w:gridCol w:w="1331"/>
        <w:gridCol w:w="1352"/>
        <w:gridCol w:w="1352"/>
      </w:tblGrid>
      <w:tr w:rsidR="006E399E" w:rsidRPr="006E399E" w:rsidTr="00F077CC">
        <w:trPr>
          <w:trHeight w:val="270"/>
        </w:trPr>
        <w:tc>
          <w:tcPr>
            <w:tcW w:w="1852" w:type="pct"/>
            <w:vMerge w:val="restar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781" w:type="pct"/>
            <w:vMerge w:val="restar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2013年</w:t>
            </w:r>
          </w:p>
        </w:tc>
        <w:tc>
          <w:tcPr>
            <w:tcW w:w="781" w:type="pct"/>
            <w:vMerge w:val="restar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2014年</w:t>
            </w:r>
          </w:p>
        </w:tc>
        <w:tc>
          <w:tcPr>
            <w:tcW w:w="1586" w:type="pct"/>
            <w:gridSpan w:val="2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结构（%）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vMerge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1" w:type="pct"/>
            <w:vMerge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1" w:type="pct"/>
            <w:vMerge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2013年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2014年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货币资金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85732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93290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9.59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10.28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交易性金融资产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7600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8200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0.85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0.90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应收票据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6590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5900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0.74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0.65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应收账款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16800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16500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1.88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1.82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预收账款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17000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13400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1.90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1.48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存货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122381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130550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13.69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14.38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其他流动资产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25202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32179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2.82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3.55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流动资产合计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281305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300019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31.47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33.06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长期投资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3437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5000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0.38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0.55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固定资产净额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541900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533950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60.62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58.83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无形资产及其他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67220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68600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7.52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7.56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非流动资产合计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612557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607550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68.53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66.94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资产总额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893862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907569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100.00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短期借款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86000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70000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9.62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7.71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应付账款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46500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36400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5.20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4.01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应付职工薪酬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15400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12600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1.72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1.39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应交税费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8462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4600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0.95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0.51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流动负债合计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156362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123600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17.49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13.62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长期借款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100000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150000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11.19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16.53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实收资本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500000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500000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55.94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55.09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资本公积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26481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28963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2.96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3.19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盈余公积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15874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16894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1.78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1.86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未分配利润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95145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88112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10.64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9.71</w:t>
            </w:r>
          </w:p>
        </w:tc>
      </w:tr>
      <w:tr w:rsidR="006E399E" w:rsidRPr="006E399E" w:rsidTr="00F077CC">
        <w:trPr>
          <w:trHeight w:val="270"/>
        </w:trPr>
        <w:tc>
          <w:tcPr>
            <w:tcW w:w="1852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负债和所有者权益合计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893862</w:t>
            </w:r>
          </w:p>
        </w:tc>
        <w:tc>
          <w:tcPr>
            <w:tcW w:w="781" w:type="pct"/>
            <w:shd w:val="clear" w:color="auto" w:fill="auto"/>
            <w:noWrap/>
            <w:vAlign w:val="center"/>
            <w:hideMark/>
          </w:tcPr>
          <w:p w:rsidR="006E399E" w:rsidRPr="006E399E" w:rsidRDefault="006E399E" w:rsidP="006E399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E399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907569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:rsidR="006E399E" w:rsidRPr="006E399E" w:rsidRDefault="006E399E">
            <w:pPr>
              <w:jc w:val="righ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6E399E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100.00</w:t>
            </w:r>
          </w:p>
        </w:tc>
      </w:tr>
    </w:tbl>
    <w:p w:rsidR="006E399E" w:rsidRPr="006E399E" w:rsidRDefault="006E399E" w:rsidP="006E399E">
      <w:pPr>
        <w:ind w:firstLineChars="200" w:firstLine="560"/>
        <w:rPr>
          <w:sz w:val="28"/>
          <w:szCs w:val="28"/>
        </w:rPr>
      </w:pPr>
      <w:r w:rsidRPr="006E399E">
        <w:rPr>
          <w:rFonts w:hint="eastAsia"/>
          <w:sz w:val="28"/>
          <w:szCs w:val="28"/>
        </w:rPr>
        <w:t>3.</w:t>
      </w:r>
      <w:r w:rsidRPr="006E399E">
        <w:rPr>
          <w:rFonts w:hint="eastAsia"/>
          <w:sz w:val="28"/>
          <w:szCs w:val="28"/>
        </w:rPr>
        <w:t>对公司财务状况的简要评述：</w:t>
      </w:r>
    </w:p>
    <w:p w:rsidR="006E399E" w:rsidRPr="006E399E" w:rsidRDefault="006E399E" w:rsidP="006E399E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6E399E">
        <w:rPr>
          <w:rFonts w:ascii="Times New Roman" w:hAnsi="Times New Roman" w:cs="Times New Roman"/>
          <w:sz w:val="28"/>
          <w:szCs w:val="28"/>
        </w:rPr>
        <w:t>公司</w:t>
      </w:r>
      <w:r w:rsidRPr="006E399E">
        <w:rPr>
          <w:rFonts w:ascii="Times New Roman" w:hAnsi="Times New Roman" w:cs="Times New Roman"/>
          <w:sz w:val="28"/>
          <w:szCs w:val="28"/>
        </w:rPr>
        <w:t>2013</w:t>
      </w:r>
      <w:r w:rsidRPr="006E399E">
        <w:rPr>
          <w:rFonts w:ascii="Times New Roman" w:hAnsi="Times New Roman" w:cs="Times New Roman"/>
          <w:sz w:val="28"/>
          <w:szCs w:val="28"/>
        </w:rPr>
        <w:t>年与</w:t>
      </w:r>
      <w:r w:rsidRPr="006E399E">
        <w:rPr>
          <w:rFonts w:ascii="Times New Roman" w:hAnsi="Times New Roman" w:cs="Times New Roman"/>
          <w:sz w:val="28"/>
          <w:szCs w:val="28"/>
        </w:rPr>
        <w:t>2014</w:t>
      </w:r>
      <w:r w:rsidRPr="006E399E">
        <w:rPr>
          <w:rFonts w:ascii="Times New Roman" w:hAnsi="Times New Roman" w:cs="Times New Roman"/>
          <w:sz w:val="28"/>
          <w:szCs w:val="28"/>
        </w:rPr>
        <w:t>年相比，资产总额增加了</w:t>
      </w:r>
      <w:r w:rsidRPr="006E399E">
        <w:rPr>
          <w:rFonts w:ascii="Times New Roman" w:hAnsi="Times New Roman" w:cs="Times New Roman"/>
          <w:sz w:val="28"/>
          <w:szCs w:val="28"/>
        </w:rPr>
        <w:t>13707</w:t>
      </w:r>
      <w:r w:rsidRPr="006E399E">
        <w:rPr>
          <w:rFonts w:ascii="Times New Roman" w:hAnsi="Times New Roman" w:cs="Times New Roman"/>
          <w:sz w:val="28"/>
          <w:szCs w:val="28"/>
        </w:rPr>
        <w:t>元，增长幅度达</w:t>
      </w:r>
      <w:r w:rsidRPr="006E399E">
        <w:rPr>
          <w:rFonts w:ascii="Times New Roman" w:hAnsi="Times New Roman" w:cs="Times New Roman"/>
          <w:sz w:val="28"/>
          <w:szCs w:val="28"/>
        </w:rPr>
        <w:t>1.53%</w:t>
      </w:r>
      <w:r w:rsidRPr="006E399E">
        <w:rPr>
          <w:rFonts w:ascii="Times New Roman" w:hAnsi="Times New Roman" w:cs="Times New Roman"/>
          <w:sz w:val="28"/>
          <w:szCs w:val="28"/>
        </w:rPr>
        <w:t>，其中流动资产增加</w:t>
      </w:r>
      <w:r w:rsidRPr="006E399E">
        <w:rPr>
          <w:rFonts w:ascii="Times New Roman" w:hAnsi="Times New Roman" w:cs="Times New Roman"/>
          <w:sz w:val="28"/>
          <w:szCs w:val="28"/>
        </w:rPr>
        <w:t>18714</w:t>
      </w:r>
      <w:r w:rsidRPr="006E399E">
        <w:rPr>
          <w:rFonts w:ascii="Times New Roman" w:hAnsi="Times New Roman" w:cs="Times New Roman"/>
          <w:sz w:val="28"/>
          <w:szCs w:val="28"/>
        </w:rPr>
        <w:t>元，增长幅度为</w:t>
      </w:r>
      <w:r w:rsidRPr="006E399E">
        <w:rPr>
          <w:rFonts w:ascii="Times New Roman" w:hAnsi="Times New Roman" w:cs="Times New Roman"/>
          <w:sz w:val="28"/>
          <w:szCs w:val="28"/>
        </w:rPr>
        <w:t>6.65%</w:t>
      </w:r>
      <w:r w:rsidRPr="006E399E">
        <w:rPr>
          <w:rFonts w:ascii="Times New Roman" w:hAnsi="Times New Roman" w:cs="Times New Roman"/>
          <w:sz w:val="28"/>
          <w:szCs w:val="28"/>
        </w:rPr>
        <w:t>；非流动资产减少了</w:t>
      </w:r>
      <w:r w:rsidRPr="006E399E">
        <w:rPr>
          <w:rFonts w:ascii="Times New Roman" w:hAnsi="Times New Roman" w:cs="Times New Roman"/>
          <w:sz w:val="28"/>
          <w:szCs w:val="28"/>
        </w:rPr>
        <w:t>5007</w:t>
      </w:r>
      <w:r w:rsidRPr="006E399E">
        <w:rPr>
          <w:rFonts w:ascii="Times New Roman" w:hAnsi="Times New Roman" w:cs="Times New Roman"/>
          <w:sz w:val="28"/>
          <w:szCs w:val="28"/>
        </w:rPr>
        <w:t>元，增长幅度为</w:t>
      </w:r>
      <w:r w:rsidRPr="006E399E">
        <w:rPr>
          <w:rFonts w:ascii="Times New Roman" w:hAnsi="Times New Roman" w:cs="Times New Roman"/>
          <w:sz w:val="28"/>
          <w:szCs w:val="28"/>
        </w:rPr>
        <w:t>-0.82%</w:t>
      </w:r>
      <w:r w:rsidRPr="006E399E">
        <w:rPr>
          <w:rFonts w:ascii="Times New Roman" w:hAnsi="Times New Roman" w:cs="Times New Roman"/>
          <w:sz w:val="28"/>
          <w:szCs w:val="28"/>
        </w:rPr>
        <w:t>；流动资产中货币资金、存货和其他流动资产的增长幅度较大，其中增长绝对数最大的是存货，</w:t>
      </w:r>
      <w:r w:rsidRPr="006E399E">
        <w:rPr>
          <w:rFonts w:ascii="Times New Roman" w:hAnsi="Times New Roman" w:cs="Times New Roman"/>
          <w:sz w:val="28"/>
          <w:szCs w:val="28"/>
        </w:rPr>
        <w:t>201</w:t>
      </w:r>
      <w:r w:rsidRPr="006E399E">
        <w:rPr>
          <w:rFonts w:ascii="Times New Roman" w:hAnsi="Times New Roman" w:cs="Times New Roman"/>
          <w:sz w:val="28"/>
          <w:szCs w:val="28"/>
        </w:rPr>
        <w:t>年比</w:t>
      </w:r>
      <w:r w:rsidRPr="006E399E">
        <w:rPr>
          <w:rFonts w:ascii="Times New Roman" w:hAnsi="Times New Roman" w:cs="Times New Roman"/>
          <w:sz w:val="28"/>
          <w:szCs w:val="28"/>
        </w:rPr>
        <w:t>2014</w:t>
      </w:r>
      <w:r w:rsidRPr="006E399E">
        <w:rPr>
          <w:rFonts w:ascii="Times New Roman" w:hAnsi="Times New Roman" w:cs="Times New Roman"/>
          <w:sz w:val="28"/>
          <w:szCs w:val="28"/>
        </w:rPr>
        <w:t>年的存货增长了</w:t>
      </w:r>
      <w:r w:rsidRPr="006E399E">
        <w:rPr>
          <w:rFonts w:ascii="Times New Roman" w:hAnsi="Times New Roman" w:cs="Times New Roman"/>
          <w:sz w:val="28"/>
          <w:szCs w:val="28"/>
        </w:rPr>
        <w:t>8169</w:t>
      </w:r>
      <w:r w:rsidRPr="006E399E">
        <w:rPr>
          <w:rFonts w:ascii="Times New Roman" w:hAnsi="Times New Roman" w:cs="Times New Roman"/>
          <w:sz w:val="28"/>
          <w:szCs w:val="28"/>
        </w:rPr>
        <w:t>元，增长幅度为</w:t>
      </w:r>
      <w:r w:rsidRPr="006E399E">
        <w:rPr>
          <w:rFonts w:ascii="Times New Roman" w:hAnsi="Times New Roman" w:cs="Times New Roman"/>
          <w:sz w:val="28"/>
          <w:szCs w:val="28"/>
        </w:rPr>
        <w:t>6.68%</w:t>
      </w:r>
      <w:r w:rsidRPr="006E399E">
        <w:rPr>
          <w:rFonts w:ascii="Times New Roman" w:hAnsi="Times New Roman" w:cs="Times New Roman"/>
          <w:sz w:val="28"/>
          <w:szCs w:val="28"/>
        </w:rPr>
        <w:t>，其他流动资产增长的幅度最大，达</w:t>
      </w:r>
      <w:r w:rsidRPr="006E399E">
        <w:rPr>
          <w:rFonts w:ascii="Times New Roman" w:hAnsi="Times New Roman" w:cs="Times New Roman"/>
          <w:sz w:val="28"/>
          <w:szCs w:val="28"/>
        </w:rPr>
        <w:t>27.68%</w:t>
      </w:r>
      <w:r w:rsidRPr="006E399E">
        <w:rPr>
          <w:rFonts w:ascii="Times New Roman" w:hAnsi="Times New Roman" w:cs="Times New Roman"/>
          <w:sz w:val="28"/>
          <w:szCs w:val="28"/>
        </w:rPr>
        <w:t>，但其增长的绝对数并没有存货大，原因是其基数较存货的基数小，货币资金</w:t>
      </w:r>
      <w:r w:rsidRPr="006E399E">
        <w:rPr>
          <w:rFonts w:ascii="Times New Roman" w:hAnsi="Times New Roman" w:cs="Times New Roman"/>
          <w:sz w:val="28"/>
          <w:szCs w:val="28"/>
        </w:rPr>
        <w:t>2013</w:t>
      </w:r>
      <w:r w:rsidRPr="006E399E">
        <w:rPr>
          <w:rFonts w:ascii="Times New Roman" w:hAnsi="Times New Roman" w:cs="Times New Roman"/>
          <w:sz w:val="28"/>
          <w:szCs w:val="28"/>
        </w:rPr>
        <w:t>年与</w:t>
      </w:r>
      <w:r w:rsidRPr="006E399E">
        <w:rPr>
          <w:rFonts w:ascii="Times New Roman" w:hAnsi="Times New Roman" w:cs="Times New Roman"/>
          <w:sz w:val="28"/>
          <w:szCs w:val="28"/>
        </w:rPr>
        <w:t>2014</w:t>
      </w:r>
      <w:r w:rsidRPr="006E399E">
        <w:rPr>
          <w:rFonts w:ascii="Times New Roman" w:hAnsi="Times New Roman" w:cs="Times New Roman"/>
          <w:sz w:val="28"/>
          <w:szCs w:val="28"/>
        </w:rPr>
        <w:t>年比，增长了</w:t>
      </w:r>
      <w:r w:rsidRPr="006E399E">
        <w:rPr>
          <w:rFonts w:ascii="Times New Roman" w:hAnsi="Times New Roman" w:cs="Times New Roman"/>
          <w:sz w:val="28"/>
          <w:szCs w:val="28"/>
        </w:rPr>
        <w:t>7558</w:t>
      </w:r>
      <w:r w:rsidRPr="006E399E">
        <w:rPr>
          <w:rFonts w:ascii="Times New Roman" w:hAnsi="Times New Roman" w:cs="Times New Roman"/>
          <w:sz w:val="28"/>
          <w:szCs w:val="28"/>
        </w:rPr>
        <w:t>元，增长幅度达</w:t>
      </w:r>
      <w:r w:rsidRPr="006E399E">
        <w:rPr>
          <w:rFonts w:ascii="Times New Roman" w:hAnsi="Times New Roman" w:cs="Times New Roman"/>
          <w:sz w:val="28"/>
          <w:szCs w:val="28"/>
        </w:rPr>
        <w:t>8.82%</w:t>
      </w:r>
      <w:r w:rsidRPr="006E399E">
        <w:rPr>
          <w:rFonts w:ascii="Times New Roman" w:hAnsi="Times New Roman" w:cs="Times New Roman"/>
          <w:sz w:val="28"/>
          <w:szCs w:val="28"/>
        </w:rPr>
        <w:t>。预付账款有所减少，变动幅度为</w:t>
      </w:r>
      <w:r w:rsidRPr="006E399E">
        <w:rPr>
          <w:rFonts w:ascii="Times New Roman" w:hAnsi="Times New Roman" w:cs="Times New Roman"/>
          <w:sz w:val="28"/>
          <w:szCs w:val="28"/>
        </w:rPr>
        <w:t>-21.18%</w:t>
      </w:r>
      <w:r w:rsidRPr="006E399E">
        <w:rPr>
          <w:rFonts w:ascii="Times New Roman" w:hAnsi="Times New Roman" w:cs="Times New Roman"/>
          <w:sz w:val="28"/>
          <w:szCs w:val="28"/>
        </w:rPr>
        <w:t>，说明公司的采购地位发生变化或供应商发生变化。公司的非流动资产中，长期投资增加了</w:t>
      </w:r>
      <w:r w:rsidRPr="006E399E">
        <w:rPr>
          <w:rFonts w:ascii="Times New Roman" w:hAnsi="Times New Roman" w:cs="Times New Roman"/>
          <w:sz w:val="28"/>
          <w:szCs w:val="28"/>
        </w:rPr>
        <w:t>1563</w:t>
      </w:r>
      <w:r w:rsidRPr="006E399E">
        <w:rPr>
          <w:rFonts w:ascii="Times New Roman" w:hAnsi="Times New Roman" w:cs="Times New Roman"/>
          <w:sz w:val="28"/>
          <w:szCs w:val="28"/>
        </w:rPr>
        <w:t>元，增长了</w:t>
      </w:r>
      <w:r w:rsidRPr="006E399E">
        <w:rPr>
          <w:rFonts w:ascii="Times New Roman" w:hAnsi="Times New Roman" w:cs="Times New Roman"/>
          <w:sz w:val="28"/>
          <w:szCs w:val="28"/>
        </w:rPr>
        <w:t>45.48%</w:t>
      </w:r>
      <w:r w:rsidRPr="006E399E">
        <w:rPr>
          <w:rFonts w:ascii="Times New Roman" w:hAnsi="Times New Roman" w:cs="Times New Roman"/>
          <w:sz w:val="28"/>
          <w:szCs w:val="28"/>
        </w:rPr>
        <w:t>，但由于其基数较小，占公司资产总额的比重仍在</w:t>
      </w:r>
      <w:r w:rsidRPr="006E399E">
        <w:rPr>
          <w:rFonts w:ascii="Times New Roman" w:hAnsi="Times New Roman" w:cs="Times New Roman"/>
          <w:sz w:val="28"/>
          <w:szCs w:val="28"/>
        </w:rPr>
        <w:t>1%</w:t>
      </w:r>
      <w:r w:rsidRPr="006E399E">
        <w:rPr>
          <w:rFonts w:ascii="Times New Roman" w:hAnsi="Times New Roman" w:cs="Times New Roman"/>
          <w:sz w:val="28"/>
          <w:szCs w:val="28"/>
        </w:rPr>
        <w:t>以下。公司的固定资产减少了</w:t>
      </w:r>
      <w:r w:rsidRPr="006E399E">
        <w:rPr>
          <w:rFonts w:ascii="Times New Roman" w:hAnsi="Times New Roman" w:cs="Times New Roman"/>
          <w:sz w:val="28"/>
          <w:szCs w:val="28"/>
        </w:rPr>
        <w:t>7950</w:t>
      </w:r>
      <w:r w:rsidRPr="006E399E">
        <w:rPr>
          <w:rFonts w:ascii="Times New Roman" w:hAnsi="Times New Roman" w:cs="Times New Roman"/>
          <w:sz w:val="28"/>
          <w:szCs w:val="28"/>
        </w:rPr>
        <w:t>元，占资产总额的比重由</w:t>
      </w:r>
      <w:r w:rsidRPr="006E399E">
        <w:rPr>
          <w:rFonts w:ascii="Times New Roman" w:hAnsi="Times New Roman" w:cs="Times New Roman"/>
          <w:sz w:val="28"/>
          <w:szCs w:val="28"/>
        </w:rPr>
        <w:t>60.62%</w:t>
      </w:r>
      <w:r w:rsidRPr="006E399E">
        <w:rPr>
          <w:rFonts w:ascii="Times New Roman" w:hAnsi="Times New Roman" w:cs="Times New Roman"/>
          <w:sz w:val="28"/>
          <w:szCs w:val="28"/>
        </w:rPr>
        <w:t>下降为</w:t>
      </w:r>
      <w:r w:rsidRPr="006E399E">
        <w:rPr>
          <w:rFonts w:ascii="Times New Roman" w:hAnsi="Times New Roman" w:cs="Times New Roman"/>
          <w:sz w:val="28"/>
          <w:szCs w:val="28"/>
        </w:rPr>
        <w:t>58.83%</w:t>
      </w:r>
      <w:r w:rsidRPr="006E399E">
        <w:rPr>
          <w:rFonts w:ascii="Times New Roman" w:hAnsi="Times New Roman" w:cs="Times New Roman"/>
          <w:sz w:val="28"/>
          <w:szCs w:val="28"/>
        </w:rPr>
        <w:t>，下降了</w:t>
      </w:r>
      <w:r w:rsidRPr="006E399E">
        <w:rPr>
          <w:rFonts w:ascii="Times New Roman" w:hAnsi="Times New Roman" w:cs="Times New Roman"/>
          <w:sz w:val="28"/>
          <w:szCs w:val="28"/>
        </w:rPr>
        <w:t>1.79</w:t>
      </w:r>
      <w:r w:rsidRPr="006E399E">
        <w:rPr>
          <w:rFonts w:ascii="Times New Roman" w:hAnsi="Times New Roman" w:cs="Times New Roman"/>
          <w:sz w:val="28"/>
          <w:szCs w:val="28"/>
        </w:rPr>
        <w:t>个百分点。</w:t>
      </w:r>
    </w:p>
    <w:p w:rsidR="006E399E" w:rsidRPr="006E399E" w:rsidRDefault="006E399E" w:rsidP="006E399E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6E399E">
        <w:rPr>
          <w:rFonts w:ascii="Times New Roman" w:hAnsi="Times New Roman" w:cs="Times New Roman"/>
          <w:sz w:val="28"/>
          <w:szCs w:val="28"/>
        </w:rPr>
        <w:t>公司的资金来源，</w:t>
      </w:r>
      <w:r w:rsidRPr="006E399E">
        <w:rPr>
          <w:rFonts w:ascii="Times New Roman" w:hAnsi="Times New Roman" w:cs="Times New Roman"/>
          <w:sz w:val="28"/>
          <w:szCs w:val="28"/>
        </w:rPr>
        <w:t>2013</w:t>
      </w:r>
      <w:r w:rsidRPr="006E399E">
        <w:rPr>
          <w:rFonts w:ascii="Times New Roman" w:hAnsi="Times New Roman" w:cs="Times New Roman"/>
          <w:sz w:val="28"/>
          <w:szCs w:val="28"/>
        </w:rPr>
        <w:t>年与</w:t>
      </w:r>
      <w:r w:rsidRPr="006E399E">
        <w:rPr>
          <w:rFonts w:ascii="Times New Roman" w:hAnsi="Times New Roman" w:cs="Times New Roman"/>
          <w:sz w:val="28"/>
          <w:szCs w:val="28"/>
        </w:rPr>
        <w:t>2014</w:t>
      </w:r>
      <w:r w:rsidRPr="006E399E">
        <w:rPr>
          <w:rFonts w:ascii="Times New Roman" w:hAnsi="Times New Roman" w:cs="Times New Roman"/>
          <w:sz w:val="28"/>
          <w:szCs w:val="28"/>
        </w:rPr>
        <w:t>年发生了较大的变化，主要是长期借款增加，短期借款减少，说明公司财务风险降低。总的来说，</w:t>
      </w:r>
      <w:r w:rsidRPr="006E399E">
        <w:rPr>
          <w:rFonts w:ascii="Times New Roman" w:hAnsi="Times New Roman" w:cs="Times New Roman"/>
          <w:sz w:val="28"/>
          <w:szCs w:val="28"/>
        </w:rPr>
        <w:lastRenderedPageBreak/>
        <w:t>公司的非流动资产占资产总额的</w:t>
      </w:r>
      <w:r w:rsidRPr="006E399E">
        <w:rPr>
          <w:rFonts w:ascii="Times New Roman" w:hAnsi="Times New Roman" w:cs="Times New Roman"/>
          <w:sz w:val="28"/>
          <w:szCs w:val="28"/>
        </w:rPr>
        <w:t>66%</w:t>
      </w:r>
      <w:r w:rsidRPr="006E399E">
        <w:rPr>
          <w:rFonts w:ascii="Times New Roman" w:hAnsi="Times New Roman" w:cs="Times New Roman"/>
          <w:sz w:val="28"/>
          <w:szCs w:val="28"/>
        </w:rPr>
        <w:t>左右，而提供长期资金的长期借款和所有者权益资金占资金来源总额的</w:t>
      </w:r>
      <w:r w:rsidRPr="006E399E">
        <w:rPr>
          <w:rFonts w:ascii="Times New Roman" w:hAnsi="Times New Roman" w:cs="Times New Roman"/>
          <w:sz w:val="28"/>
          <w:szCs w:val="28"/>
        </w:rPr>
        <w:t>80%</w:t>
      </w:r>
      <w:r w:rsidRPr="006E399E">
        <w:rPr>
          <w:rFonts w:ascii="Times New Roman" w:hAnsi="Times New Roman" w:cs="Times New Roman"/>
          <w:sz w:val="28"/>
          <w:szCs w:val="28"/>
        </w:rPr>
        <w:t>左右，公司的资金结构与资产结构搭配合理，但有一部分长期资金用于流动资产的投资，因此稍显保守。</w:t>
      </w:r>
    </w:p>
    <w:sectPr w:rsidR="006E399E" w:rsidRPr="006E39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99E"/>
    <w:rsid w:val="00017FF8"/>
    <w:rsid w:val="00024839"/>
    <w:rsid w:val="000340B4"/>
    <w:rsid w:val="00034755"/>
    <w:rsid w:val="000356D2"/>
    <w:rsid w:val="00046FA5"/>
    <w:rsid w:val="00060DCA"/>
    <w:rsid w:val="00084133"/>
    <w:rsid w:val="000C0733"/>
    <w:rsid w:val="000D6E7E"/>
    <w:rsid w:val="000E16A1"/>
    <w:rsid w:val="000E7A65"/>
    <w:rsid w:val="000F0287"/>
    <w:rsid w:val="001150FB"/>
    <w:rsid w:val="00132FA4"/>
    <w:rsid w:val="00141AD8"/>
    <w:rsid w:val="0018156D"/>
    <w:rsid w:val="00186458"/>
    <w:rsid w:val="00197302"/>
    <w:rsid w:val="001A6F13"/>
    <w:rsid w:val="001B304D"/>
    <w:rsid w:val="001B78D1"/>
    <w:rsid w:val="001E76AE"/>
    <w:rsid w:val="001F1ED5"/>
    <w:rsid w:val="001F4388"/>
    <w:rsid w:val="002001BB"/>
    <w:rsid w:val="00207900"/>
    <w:rsid w:val="002700DE"/>
    <w:rsid w:val="00280C7F"/>
    <w:rsid w:val="00290E30"/>
    <w:rsid w:val="00294F17"/>
    <w:rsid w:val="002A652D"/>
    <w:rsid w:val="002C7260"/>
    <w:rsid w:val="002C774C"/>
    <w:rsid w:val="002E3016"/>
    <w:rsid w:val="002F570A"/>
    <w:rsid w:val="002F5EDE"/>
    <w:rsid w:val="003017F4"/>
    <w:rsid w:val="0030432A"/>
    <w:rsid w:val="00313D7E"/>
    <w:rsid w:val="00346F63"/>
    <w:rsid w:val="00357CB0"/>
    <w:rsid w:val="003767D1"/>
    <w:rsid w:val="00382996"/>
    <w:rsid w:val="003932CA"/>
    <w:rsid w:val="003B50D9"/>
    <w:rsid w:val="003C333F"/>
    <w:rsid w:val="00407A46"/>
    <w:rsid w:val="0041789F"/>
    <w:rsid w:val="00435AB0"/>
    <w:rsid w:val="0044677B"/>
    <w:rsid w:val="00471365"/>
    <w:rsid w:val="00472C90"/>
    <w:rsid w:val="00483ED2"/>
    <w:rsid w:val="00485727"/>
    <w:rsid w:val="004A6054"/>
    <w:rsid w:val="004B16A9"/>
    <w:rsid w:val="004C5350"/>
    <w:rsid w:val="004E40C8"/>
    <w:rsid w:val="00504BE0"/>
    <w:rsid w:val="00510FD2"/>
    <w:rsid w:val="00520F28"/>
    <w:rsid w:val="005655B5"/>
    <w:rsid w:val="00575818"/>
    <w:rsid w:val="00582D97"/>
    <w:rsid w:val="00587B8F"/>
    <w:rsid w:val="005932DB"/>
    <w:rsid w:val="005A724A"/>
    <w:rsid w:val="00611E00"/>
    <w:rsid w:val="00615BF6"/>
    <w:rsid w:val="00620766"/>
    <w:rsid w:val="0063238A"/>
    <w:rsid w:val="00686C03"/>
    <w:rsid w:val="006D26CA"/>
    <w:rsid w:val="006D52DD"/>
    <w:rsid w:val="006D5E26"/>
    <w:rsid w:val="006E399E"/>
    <w:rsid w:val="006F7CDC"/>
    <w:rsid w:val="00744809"/>
    <w:rsid w:val="00746E67"/>
    <w:rsid w:val="00765CCF"/>
    <w:rsid w:val="00772E96"/>
    <w:rsid w:val="007815F5"/>
    <w:rsid w:val="007839CD"/>
    <w:rsid w:val="007A34E1"/>
    <w:rsid w:val="007A7FBA"/>
    <w:rsid w:val="007B67EF"/>
    <w:rsid w:val="007C6BAB"/>
    <w:rsid w:val="007C7906"/>
    <w:rsid w:val="007D2191"/>
    <w:rsid w:val="007E4E8D"/>
    <w:rsid w:val="007E5EED"/>
    <w:rsid w:val="007F7387"/>
    <w:rsid w:val="00802FFD"/>
    <w:rsid w:val="0082654E"/>
    <w:rsid w:val="00854775"/>
    <w:rsid w:val="008639BA"/>
    <w:rsid w:val="00897757"/>
    <w:rsid w:val="008A0381"/>
    <w:rsid w:val="008B6DE1"/>
    <w:rsid w:val="008E3746"/>
    <w:rsid w:val="008F5F1D"/>
    <w:rsid w:val="0090259D"/>
    <w:rsid w:val="00923E89"/>
    <w:rsid w:val="00971579"/>
    <w:rsid w:val="00972C93"/>
    <w:rsid w:val="009751FE"/>
    <w:rsid w:val="009814C7"/>
    <w:rsid w:val="009B43C4"/>
    <w:rsid w:val="009E2554"/>
    <w:rsid w:val="009E6302"/>
    <w:rsid w:val="00A13BC5"/>
    <w:rsid w:val="00A91345"/>
    <w:rsid w:val="00AA1D76"/>
    <w:rsid w:val="00AC02EA"/>
    <w:rsid w:val="00B02169"/>
    <w:rsid w:val="00B030F9"/>
    <w:rsid w:val="00B43C74"/>
    <w:rsid w:val="00B61F91"/>
    <w:rsid w:val="00B832D9"/>
    <w:rsid w:val="00BA79A9"/>
    <w:rsid w:val="00BB3E2E"/>
    <w:rsid w:val="00BC0272"/>
    <w:rsid w:val="00BC3E3A"/>
    <w:rsid w:val="00BC766A"/>
    <w:rsid w:val="00BD111F"/>
    <w:rsid w:val="00C10906"/>
    <w:rsid w:val="00C31193"/>
    <w:rsid w:val="00C66963"/>
    <w:rsid w:val="00C7386D"/>
    <w:rsid w:val="00C76820"/>
    <w:rsid w:val="00CA119B"/>
    <w:rsid w:val="00CA52D9"/>
    <w:rsid w:val="00CB1D93"/>
    <w:rsid w:val="00CB6639"/>
    <w:rsid w:val="00CD580A"/>
    <w:rsid w:val="00CE605C"/>
    <w:rsid w:val="00CF6789"/>
    <w:rsid w:val="00D14425"/>
    <w:rsid w:val="00D212DA"/>
    <w:rsid w:val="00D3384E"/>
    <w:rsid w:val="00D3483B"/>
    <w:rsid w:val="00D677D3"/>
    <w:rsid w:val="00D778B0"/>
    <w:rsid w:val="00D80559"/>
    <w:rsid w:val="00D81528"/>
    <w:rsid w:val="00D9263D"/>
    <w:rsid w:val="00DB3C45"/>
    <w:rsid w:val="00DD40EF"/>
    <w:rsid w:val="00DE35AD"/>
    <w:rsid w:val="00DF3026"/>
    <w:rsid w:val="00E11A82"/>
    <w:rsid w:val="00E91D7E"/>
    <w:rsid w:val="00EC3580"/>
    <w:rsid w:val="00ED2F6E"/>
    <w:rsid w:val="00EE05C5"/>
    <w:rsid w:val="00EE05FE"/>
    <w:rsid w:val="00EF6F0B"/>
    <w:rsid w:val="00F077CC"/>
    <w:rsid w:val="00F41198"/>
    <w:rsid w:val="00F860A5"/>
    <w:rsid w:val="00F87291"/>
    <w:rsid w:val="00F9333E"/>
    <w:rsid w:val="00FC02E2"/>
    <w:rsid w:val="00FC1826"/>
    <w:rsid w:val="00FE66AC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0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963206-0DC2-4BBA-A717-272DD5843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zhh</cp:lastModifiedBy>
  <cp:revision>3</cp:revision>
  <dcterms:created xsi:type="dcterms:W3CDTF">2016-03-16T05:43:00Z</dcterms:created>
  <dcterms:modified xsi:type="dcterms:W3CDTF">2016-06-20T05:47:00Z</dcterms:modified>
</cp:coreProperties>
</file>