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1C6" w:rsidRPr="00F8083B" w:rsidRDefault="00E561C6" w:rsidP="00E561C6">
      <w:pPr>
        <w:pStyle w:val="a4"/>
        <w:rPr>
          <w:rFonts w:ascii="黑体" w:eastAsia="黑体" w:hAnsi="Cambria"/>
          <w:b w:val="0"/>
          <w:sz w:val="28"/>
          <w:szCs w:val="28"/>
        </w:rPr>
      </w:pPr>
      <w:r>
        <w:rPr>
          <w:rFonts w:ascii="黑体" w:eastAsia="黑体" w:hAnsi="Cambria" w:hint="eastAsia"/>
          <w:b w:val="0"/>
          <w:sz w:val="28"/>
          <w:szCs w:val="28"/>
        </w:rPr>
        <w:t>第十</w:t>
      </w:r>
      <w:r w:rsidRPr="00F8083B">
        <w:rPr>
          <w:rFonts w:ascii="黑体" w:eastAsia="黑体" w:hAnsi="Cambria" w:hint="eastAsia"/>
          <w:b w:val="0"/>
          <w:sz w:val="28"/>
          <w:szCs w:val="28"/>
        </w:rPr>
        <w:t xml:space="preserve">章 </w:t>
      </w:r>
      <w:r>
        <w:rPr>
          <w:rFonts w:ascii="黑体" w:eastAsia="黑体" w:hAnsi="Cambria" w:hint="eastAsia"/>
          <w:b w:val="0"/>
          <w:sz w:val="28"/>
          <w:szCs w:val="28"/>
        </w:rPr>
        <w:t xml:space="preserve"> 财务报表综合分析和评价</w:t>
      </w:r>
    </w:p>
    <w:p w:rsidR="00BB14C1" w:rsidRDefault="00E561C6">
      <w:r>
        <w:rPr>
          <w:rFonts w:hint="eastAsia"/>
        </w:rPr>
        <w:t>案例：</w:t>
      </w:r>
    </w:p>
    <w:p w:rsidR="00E561C6" w:rsidRDefault="00E561C6" w:rsidP="00E561C6">
      <w:pPr>
        <w:ind w:firstLineChars="200" w:firstLine="420"/>
      </w:pPr>
      <w:r>
        <w:rPr>
          <w:rFonts w:hint="eastAsia"/>
        </w:rPr>
        <w:t>A</w:t>
      </w:r>
      <w:r>
        <w:rPr>
          <w:rFonts w:hint="eastAsia"/>
        </w:rPr>
        <w:t>公司</w:t>
      </w:r>
      <w:r w:rsidRPr="00E561C6">
        <w:rPr>
          <w:rFonts w:hint="eastAsia"/>
        </w:rPr>
        <w:t>的基本财务数据如下表</w:t>
      </w:r>
      <w:r>
        <w:rPr>
          <w:rFonts w:hint="eastAsia"/>
        </w:rPr>
        <w:t>1</w:t>
      </w:r>
      <w:r w:rsidRPr="00E561C6">
        <w:rPr>
          <w:rFonts w:hint="eastAsia"/>
        </w:rPr>
        <w:t>：</w:t>
      </w:r>
    </w:p>
    <w:p w:rsidR="00E561C6" w:rsidRDefault="00E561C6" w:rsidP="00E561C6">
      <w:pPr>
        <w:jc w:val="center"/>
      </w:pPr>
      <w:r>
        <w:rPr>
          <w:rFonts w:hint="eastAsia"/>
        </w:rPr>
        <w:t>表</w:t>
      </w:r>
      <w:r>
        <w:rPr>
          <w:rFonts w:hint="eastAsia"/>
        </w:rPr>
        <w:t>1  A</w:t>
      </w:r>
      <w:r>
        <w:rPr>
          <w:rFonts w:hint="eastAsia"/>
        </w:rPr>
        <w:t>公司的基本财务数据表</w:t>
      </w:r>
    </w:p>
    <w:p w:rsidR="00E561C6" w:rsidRDefault="00E561C6" w:rsidP="00E561C6">
      <w:pPr>
        <w:ind w:right="420" w:firstLineChars="3200" w:firstLine="6720"/>
      </w:pPr>
      <w:r>
        <w:rPr>
          <w:rFonts w:hint="eastAsia"/>
        </w:rPr>
        <w:t>单位：元</w:t>
      </w:r>
    </w:p>
    <w:tbl>
      <w:tblPr>
        <w:tblW w:w="7245"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91"/>
        <w:gridCol w:w="1134"/>
        <w:gridCol w:w="1276"/>
        <w:gridCol w:w="1206"/>
        <w:gridCol w:w="1206"/>
        <w:gridCol w:w="1132"/>
      </w:tblGrid>
      <w:tr w:rsidR="00E561C6" w:rsidRPr="00E561C6" w:rsidTr="00E561C6">
        <w:trPr>
          <w:trHeight w:val="270"/>
          <w:jc w:val="center"/>
        </w:trPr>
        <w:tc>
          <w:tcPr>
            <w:tcW w:w="1291"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项目\年度　</w:t>
            </w:r>
          </w:p>
        </w:tc>
        <w:tc>
          <w:tcPr>
            <w:tcW w:w="1134"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　净利润　　</w:t>
            </w:r>
            <w:proofErr w:type="gramStart"/>
            <w:r w:rsidRPr="00E561C6">
              <w:rPr>
                <w:rFonts w:ascii="宋体" w:eastAsia="宋体" w:hAnsi="宋体" w:cs="宋体" w:hint="eastAsia"/>
                <w:color w:val="000000"/>
                <w:kern w:val="0"/>
                <w:sz w:val="22"/>
              </w:rPr>
              <w:t xml:space="preserve">　</w:t>
            </w:r>
            <w:proofErr w:type="gramEnd"/>
          </w:p>
        </w:tc>
        <w:tc>
          <w:tcPr>
            <w:tcW w:w="1276"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销售收入　</w:t>
            </w:r>
          </w:p>
        </w:tc>
        <w:tc>
          <w:tcPr>
            <w:tcW w:w="1206"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资产总额　　</w:t>
            </w:r>
          </w:p>
        </w:tc>
        <w:tc>
          <w:tcPr>
            <w:tcW w:w="1206"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负债总额　　</w:t>
            </w:r>
            <w:proofErr w:type="gramStart"/>
            <w:r w:rsidRPr="00E561C6">
              <w:rPr>
                <w:rFonts w:ascii="宋体" w:eastAsia="宋体" w:hAnsi="宋体" w:cs="宋体" w:hint="eastAsia"/>
                <w:color w:val="000000"/>
                <w:kern w:val="0"/>
                <w:sz w:val="22"/>
              </w:rPr>
              <w:t xml:space="preserve">　</w:t>
            </w:r>
            <w:proofErr w:type="gramEnd"/>
          </w:p>
        </w:tc>
        <w:tc>
          <w:tcPr>
            <w:tcW w:w="1132"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全部成本</w:t>
            </w:r>
          </w:p>
        </w:tc>
      </w:tr>
      <w:tr w:rsidR="00E561C6" w:rsidRPr="00E561C6" w:rsidTr="00E561C6">
        <w:trPr>
          <w:trHeight w:val="270"/>
          <w:jc w:val="center"/>
        </w:trPr>
        <w:tc>
          <w:tcPr>
            <w:tcW w:w="1291" w:type="dxa"/>
            <w:shd w:val="clear" w:color="auto" w:fill="auto"/>
            <w:noWrap/>
            <w:vAlign w:val="center"/>
            <w:hideMark/>
          </w:tcPr>
          <w:p w:rsidR="00E561C6" w:rsidRPr="00E561C6" w:rsidRDefault="00E561C6" w:rsidP="0080173A">
            <w:pPr>
              <w:widowControl/>
              <w:ind w:right="440"/>
              <w:jc w:val="center"/>
              <w:rPr>
                <w:rFonts w:ascii="宋体" w:eastAsia="宋体" w:hAnsi="宋体" w:cs="宋体"/>
                <w:color w:val="000000"/>
                <w:kern w:val="0"/>
                <w:sz w:val="22"/>
              </w:rPr>
            </w:pPr>
            <w:r w:rsidRPr="00E561C6">
              <w:rPr>
                <w:rFonts w:ascii="宋体" w:eastAsia="宋体" w:hAnsi="宋体" w:cs="宋体" w:hint="eastAsia"/>
                <w:color w:val="000000"/>
                <w:kern w:val="0"/>
                <w:sz w:val="22"/>
              </w:rPr>
              <w:t>20</w:t>
            </w:r>
            <w:r w:rsidR="0080173A">
              <w:rPr>
                <w:rFonts w:ascii="宋体" w:eastAsia="宋体" w:hAnsi="宋体" w:cs="宋体" w:hint="eastAsia"/>
                <w:color w:val="000000"/>
                <w:kern w:val="0"/>
                <w:sz w:val="22"/>
              </w:rPr>
              <w:t>13</w:t>
            </w:r>
          </w:p>
        </w:tc>
        <w:tc>
          <w:tcPr>
            <w:tcW w:w="1134"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10284.04</w:t>
            </w:r>
          </w:p>
        </w:tc>
        <w:tc>
          <w:tcPr>
            <w:tcW w:w="127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411224.01</w:t>
            </w:r>
          </w:p>
        </w:tc>
        <w:tc>
          <w:tcPr>
            <w:tcW w:w="120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306222.94</w:t>
            </w:r>
          </w:p>
        </w:tc>
        <w:tc>
          <w:tcPr>
            <w:tcW w:w="120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205677.07</w:t>
            </w:r>
          </w:p>
        </w:tc>
        <w:tc>
          <w:tcPr>
            <w:tcW w:w="1132"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403967.4</w:t>
            </w:r>
          </w:p>
        </w:tc>
      </w:tr>
      <w:tr w:rsidR="00E561C6" w:rsidRPr="00E561C6" w:rsidTr="00E561C6">
        <w:trPr>
          <w:trHeight w:val="270"/>
          <w:jc w:val="center"/>
        </w:trPr>
        <w:tc>
          <w:tcPr>
            <w:tcW w:w="1291" w:type="dxa"/>
            <w:shd w:val="clear" w:color="auto" w:fill="auto"/>
            <w:noWrap/>
            <w:vAlign w:val="center"/>
            <w:hideMark/>
          </w:tcPr>
          <w:p w:rsidR="00E561C6" w:rsidRPr="00E561C6" w:rsidRDefault="00E561C6" w:rsidP="0080173A">
            <w:pPr>
              <w:widowControl/>
              <w:ind w:right="440"/>
              <w:jc w:val="center"/>
              <w:rPr>
                <w:rFonts w:ascii="宋体" w:eastAsia="宋体" w:hAnsi="宋体" w:cs="宋体"/>
                <w:color w:val="000000"/>
                <w:kern w:val="0"/>
                <w:sz w:val="22"/>
              </w:rPr>
            </w:pPr>
            <w:r w:rsidRPr="00E561C6">
              <w:rPr>
                <w:rFonts w:ascii="宋体" w:eastAsia="宋体" w:hAnsi="宋体" w:cs="宋体" w:hint="eastAsia"/>
                <w:color w:val="000000"/>
                <w:kern w:val="0"/>
                <w:sz w:val="22"/>
              </w:rPr>
              <w:t>20</w:t>
            </w:r>
            <w:r w:rsidR="0080173A">
              <w:rPr>
                <w:rFonts w:ascii="宋体" w:eastAsia="宋体" w:hAnsi="宋体" w:cs="宋体" w:hint="eastAsia"/>
                <w:color w:val="000000"/>
                <w:kern w:val="0"/>
                <w:sz w:val="22"/>
              </w:rPr>
              <w:t>14</w:t>
            </w:r>
          </w:p>
        </w:tc>
        <w:tc>
          <w:tcPr>
            <w:tcW w:w="1134"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12653.92</w:t>
            </w:r>
          </w:p>
        </w:tc>
        <w:tc>
          <w:tcPr>
            <w:tcW w:w="127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757613.81</w:t>
            </w:r>
          </w:p>
        </w:tc>
        <w:tc>
          <w:tcPr>
            <w:tcW w:w="120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330580.21</w:t>
            </w:r>
          </w:p>
        </w:tc>
        <w:tc>
          <w:tcPr>
            <w:tcW w:w="120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215659.54</w:t>
            </w:r>
          </w:p>
        </w:tc>
        <w:tc>
          <w:tcPr>
            <w:tcW w:w="1132"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736747.2</w:t>
            </w:r>
          </w:p>
        </w:tc>
      </w:tr>
    </w:tbl>
    <w:p w:rsidR="00E561C6" w:rsidRDefault="00E561C6">
      <w:r w:rsidRPr="00E561C6">
        <w:rPr>
          <w:rFonts w:hint="eastAsia"/>
        </w:rPr>
        <w:t>该公司</w:t>
      </w:r>
      <w:r w:rsidRPr="00E561C6">
        <w:rPr>
          <w:rFonts w:hint="eastAsia"/>
        </w:rPr>
        <w:t>20</w:t>
      </w:r>
      <w:r>
        <w:rPr>
          <w:rFonts w:hint="eastAsia"/>
        </w:rPr>
        <w:t>13</w:t>
      </w:r>
      <w:r w:rsidRPr="00E561C6">
        <w:rPr>
          <w:rFonts w:hint="eastAsia"/>
        </w:rPr>
        <w:t>至</w:t>
      </w:r>
      <w:r w:rsidRPr="00E561C6">
        <w:rPr>
          <w:rFonts w:hint="eastAsia"/>
        </w:rPr>
        <w:t>20</w:t>
      </w:r>
      <w:r>
        <w:rPr>
          <w:rFonts w:hint="eastAsia"/>
        </w:rPr>
        <w:t>14</w:t>
      </w:r>
      <w:r w:rsidRPr="00E561C6">
        <w:rPr>
          <w:rFonts w:hint="eastAsia"/>
        </w:rPr>
        <w:t>年财务比率</w:t>
      </w:r>
      <w:r>
        <w:rPr>
          <w:rFonts w:hint="eastAsia"/>
        </w:rPr>
        <w:t>如下</w:t>
      </w:r>
      <w:r w:rsidRPr="00E561C6">
        <w:rPr>
          <w:rFonts w:hint="eastAsia"/>
        </w:rPr>
        <w:t>表</w:t>
      </w:r>
      <w:r>
        <w:rPr>
          <w:rFonts w:hint="eastAsia"/>
        </w:rPr>
        <w:t>2</w:t>
      </w:r>
      <w:r w:rsidRPr="00E561C6">
        <w:rPr>
          <w:rFonts w:hint="eastAsia"/>
        </w:rPr>
        <w:t>：</w:t>
      </w:r>
    </w:p>
    <w:p w:rsidR="00E561C6" w:rsidRDefault="00E561C6" w:rsidP="00E561C6">
      <w:pPr>
        <w:jc w:val="center"/>
      </w:pPr>
      <w:bookmarkStart w:id="0" w:name="_GoBack"/>
      <w:bookmarkEnd w:id="0"/>
      <w:r>
        <w:rPr>
          <w:rFonts w:hint="eastAsia"/>
        </w:rPr>
        <w:t>表</w:t>
      </w:r>
      <w:r>
        <w:rPr>
          <w:rFonts w:hint="eastAsia"/>
        </w:rPr>
        <w:t>2 A</w:t>
      </w:r>
      <w:r>
        <w:rPr>
          <w:rFonts w:hint="eastAsia"/>
        </w:rPr>
        <w:t>公司</w:t>
      </w:r>
      <w:r>
        <w:rPr>
          <w:rFonts w:hint="eastAsia"/>
        </w:rPr>
        <w:t>2013-2014</w:t>
      </w:r>
      <w:r>
        <w:rPr>
          <w:rFonts w:hint="eastAsia"/>
        </w:rPr>
        <w:t>年财务比率表</w:t>
      </w:r>
    </w:p>
    <w:tbl>
      <w:tblPr>
        <w:tblW w:w="3467"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575"/>
        <w:gridCol w:w="946"/>
        <w:gridCol w:w="946"/>
      </w:tblGrid>
      <w:tr w:rsidR="00E561C6" w:rsidRPr="00E561C6" w:rsidTr="00E561C6">
        <w:trPr>
          <w:trHeight w:val="270"/>
          <w:jc w:val="center"/>
        </w:trPr>
        <w:tc>
          <w:tcPr>
            <w:tcW w:w="1575"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年度　　</w:t>
            </w:r>
            <w:proofErr w:type="gramStart"/>
            <w:r w:rsidRPr="00E561C6">
              <w:rPr>
                <w:rFonts w:ascii="宋体" w:eastAsia="宋体" w:hAnsi="宋体" w:cs="宋体" w:hint="eastAsia"/>
                <w:color w:val="000000"/>
                <w:kern w:val="0"/>
                <w:sz w:val="22"/>
              </w:rPr>
              <w:t xml:space="preserve">　</w:t>
            </w:r>
            <w:proofErr w:type="gramEnd"/>
            <w:r w:rsidRPr="00E561C6">
              <w:rPr>
                <w:rFonts w:ascii="宋体" w:eastAsia="宋体" w:hAnsi="宋体" w:cs="宋体" w:hint="eastAsia"/>
                <w:color w:val="000000"/>
                <w:kern w:val="0"/>
                <w:sz w:val="22"/>
              </w:rPr>
              <w:t xml:space="preserve">      　</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20</w:t>
            </w:r>
            <w:r>
              <w:rPr>
                <w:rFonts w:ascii="宋体" w:eastAsia="宋体" w:hAnsi="宋体" w:cs="宋体" w:hint="eastAsia"/>
                <w:color w:val="000000"/>
                <w:kern w:val="0"/>
                <w:sz w:val="22"/>
              </w:rPr>
              <w:t>13年</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20</w:t>
            </w:r>
            <w:r>
              <w:rPr>
                <w:rFonts w:ascii="宋体" w:eastAsia="宋体" w:hAnsi="宋体" w:cs="宋体" w:hint="eastAsia"/>
                <w:color w:val="000000"/>
                <w:kern w:val="0"/>
                <w:sz w:val="22"/>
              </w:rPr>
              <w:t>14年</w:t>
            </w:r>
          </w:p>
        </w:tc>
      </w:tr>
      <w:tr w:rsidR="00E561C6" w:rsidRPr="00E561C6" w:rsidTr="00E561C6">
        <w:trPr>
          <w:trHeight w:val="270"/>
          <w:jc w:val="center"/>
        </w:trPr>
        <w:tc>
          <w:tcPr>
            <w:tcW w:w="1575"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权益净利率　　</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0.097</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0.112</w:t>
            </w:r>
          </w:p>
        </w:tc>
      </w:tr>
      <w:tr w:rsidR="00E561C6" w:rsidRPr="00E561C6" w:rsidTr="00E561C6">
        <w:trPr>
          <w:trHeight w:val="270"/>
          <w:jc w:val="center"/>
        </w:trPr>
        <w:tc>
          <w:tcPr>
            <w:tcW w:w="1575"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权益乘数　　</w:t>
            </w:r>
            <w:proofErr w:type="gramStart"/>
            <w:r w:rsidRPr="00E561C6">
              <w:rPr>
                <w:rFonts w:ascii="宋体" w:eastAsia="宋体" w:hAnsi="宋体" w:cs="宋体" w:hint="eastAsia"/>
                <w:color w:val="000000"/>
                <w:kern w:val="0"/>
                <w:sz w:val="22"/>
              </w:rPr>
              <w:t xml:space="preserve">　</w:t>
            </w:r>
            <w:proofErr w:type="gramEnd"/>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3.049</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2.874</w:t>
            </w:r>
          </w:p>
        </w:tc>
      </w:tr>
      <w:tr w:rsidR="00E561C6" w:rsidRPr="00E561C6" w:rsidTr="00E561C6">
        <w:trPr>
          <w:trHeight w:val="270"/>
          <w:jc w:val="center"/>
        </w:trPr>
        <w:tc>
          <w:tcPr>
            <w:tcW w:w="1575"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资产负债</w:t>
            </w:r>
            <w:proofErr w:type="gramStart"/>
            <w:r w:rsidRPr="00E561C6">
              <w:rPr>
                <w:rFonts w:ascii="宋体" w:eastAsia="宋体" w:hAnsi="宋体" w:cs="宋体" w:hint="eastAsia"/>
                <w:color w:val="000000"/>
                <w:kern w:val="0"/>
                <w:sz w:val="22"/>
              </w:rPr>
              <w:t xml:space="preserve">率　　</w:t>
            </w:r>
            <w:proofErr w:type="gramEnd"/>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0.672</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0.652</w:t>
            </w:r>
          </w:p>
        </w:tc>
      </w:tr>
      <w:tr w:rsidR="00E561C6" w:rsidRPr="00E561C6" w:rsidTr="00E561C6">
        <w:trPr>
          <w:trHeight w:val="270"/>
          <w:jc w:val="center"/>
        </w:trPr>
        <w:tc>
          <w:tcPr>
            <w:tcW w:w="1575"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资产净利率　　</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0.032</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0.039</w:t>
            </w:r>
          </w:p>
        </w:tc>
      </w:tr>
      <w:tr w:rsidR="00E561C6" w:rsidRPr="00E561C6" w:rsidTr="00E561C6">
        <w:trPr>
          <w:trHeight w:val="270"/>
          <w:jc w:val="center"/>
        </w:trPr>
        <w:tc>
          <w:tcPr>
            <w:tcW w:w="1575"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销售净利率　　</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0.025</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0.017</w:t>
            </w:r>
          </w:p>
        </w:tc>
      </w:tr>
      <w:tr w:rsidR="00E561C6" w:rsidRPr="00E561C6" w:rsidTr="00E561C6">
        <w:trPr>
          <w:trHeight w:val="270"/>
          <w:jc w:val="center"/>
        </w:trPr>
        <w:tc>
          <w:tcPr>
            <w:tcW w:w="1575" w:type="dxa"/>
            <w:shd w:val="clear" w:color="auto" w:fill="auto"/>
            <w:noWrap/>
            <w:vAlign w:val="center"/>
            <w:hideMark/>
          </w:tcPr>
          <w:p w:rsidR="00E561C6" w:rsidRPr="00E561C6" w:rsidRDefault="00E561C6" w:rsidP="00E561C6">
            <w:pPr>
              <w:widowControl/>
              <w:jc w:val="left"/>
              <w:rPr>
                <w:rFonts w:ascii="宋体" w:eastAsia="宋体" w:hAnsi="宋体" w:cs="宋体"/>
                <w:color w:val="000000"/>
                <w:kern w:val="0"/>
                <w:sz w:val="22"/>
              </w:rPr>
            </w:pPr>
            <w:r w:rsidRPr="00E561C6">
              <w:rPr>
                <w:rFonts w:ascii="宋体" w:eastAsia="宋体" w:hAnsi="宋体" w:cs="宋体" w:hint="eastAsia"/>
                <w:color w:val="000000"/>
                <w:kern w:val="0"/>
                <w:sz w:val="22"/>
              </w:rPr>
              <w:t xml:space="preserve">总资产周转率　</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1.34</w:t>
            </w:r>
          </w:p>
        </w:tc>
        <w:tc>
          <w:tcPr>
            <w:tcW w:w="946" w:type="dxa"/>
            <w:shd w:val="clear" w:color="auto" w:fill="auto"/>
            <w:noWrap/>
            <w:vAlign w:val="center"/>
            <w:hideMark/>
          </w:tcPr>
          <w:p w:rsidR="00E561C6" w:rsidRPr="00E561C6" w:rsidRDefault="00E561C6" w:rsidP="00E561C6">
            <w:pPr>
              <w:widowControl/>
              <w:jc w:val="right"/>
              <w:rPr>
                <w:rFonts w:ascii="宋体" w:eastAsia="宋体" w:hAnsi="宋体" w:cs="宋体"/>
                <w:color w:val="000000"/>
                <w:kern w:val="0"/>
                <w:sz w:val="22"/>
              </w:rPr>
            </w:pPr>
            <w:r w:rsidRPr="00E561C6">
              <w:rPr>
                <w:rFonts w:ascii="宋体" w:eastAsia="宋体" w:hAnsi="宋体" w:cs="宋体" w:hint="eastAsia"/>
                <w:color w:val="000000"/>
                <w:kern w:val="0"/>
                <w:sz w:val="22"/>
              </w:rPr>
              <w:t>2.29</w:t>
            </w:r>
          </w:p>
        </w:tc>
      </w:tr>
    </w:tbl>
    <w:p w:rsidR="00E561C6" w:rsidRDefault="00E561C6">
      <w:r>
        <w:rPr>
          <w:rFonts w:hint="eastAsia"/>
        </w:rPr>
        <w:t>要求：</w:t>
      </w:r>
    </w:p>
    <w:p w:rsidR="00E561C6" w:rsidRDefault="00E561C6">
      <w:r>
        <w:rPr>
          <w:rFonts w:hint="eastAsia"/>
        </w:rPr>
        <w:t>1.</w:t>
      </w:r>
      <w:r>
        <w:rPr>
          <w:rFonts w:hint="eastAsia"/>
        </w:rPr>
        <w:t>对权益净利率进行分析。</w:t>
      </w:r>
    </w:p>
    <w:p w:rsidR="00E561C6" w:rsidRDefault="00E561C6">
      <w:r>
        <w:rPr>
          <w:rFonts w:hint="eastAsia"/>
        </w:rPr>
        <w:t>2.</w:t>
      </w:r>
      <w:r>
        <w:rPr>
          <w:rFonts w:hint="eastAsia"/>
        </w:rPr>
        <w:t>对权益净利率进行分解。</w:t>
      </w:r>
    </w:p>
    <w:p w:rsidR="00E561C6" w:rsidRDefault="00E561C6">
      <w:r>
        <w:rPr>
          <w:rFonts w:hint="eastAsia"/>
        </w:rPr>
        <w:t>参考答案：</w:t>
      </w:r>
    </w:p>
    <w:p w:rsidR="00E561C6" w:rsidRDefault="00E561C6" w:rsidP="00E561C6">
      <w:r>
        <w:rPr>
          <w:rFonts w:hint="eastAsia"/>
        </w:rPr>
        <w:t>1.</w:t>
      </w:r>
      <w:r>
        <w:rPr>
          <w:rFonts w:hint="eastAsia"/>
        </w:rPr>
        <w:t>权益净利率的分析</w:t>
      </w:r>
    </w:p>
    <w:p w:rsidR="00E561C6" w:rsidRDefault="00E561C6" w:rsidP="00E561C6">
      <w:pPr>
        <w:ind w:firstLineChars="200" w:firstLine="420"/>
      </w:pPr>
      <w:r>
        <w:rPr>
          <w:rFonts w:hint="eastAsia"/>
        </w:rPr>
        <w:t>（</w:t>
      </w:r>
      <w:r>
        <w:rPr>
          <w:rFonts w:hint="eastAsia"/>
        </w:rPr>
        <w:t>1</w:t>
      </w:r>
      <w:r>
        <w:rPr>
          <w:rFonts w:hint="eastAsia"/>
        </w:rPr>
        <w:t>）权益净利率指标是衡量企业利用资产获取利润能力的指标。权益净利率充分考虑了筹资方式对企业获利能力的影响，因此它所反映的获利能力是企业经营能力、财务决策和筹资方式等多种因素综合作用的结果。</w:t>
      </w:r>
    </w:p>
    <w:p w:rsidR="00E561C6" w:rsidRDefault="00E561C6" w:rsidP="00E561C6">
      <w:r>
        <w:rPr>
          <w:rFonts w:hint="eastAsia"/>
        </w:rPr>
        <w:t xml:space="preserve">　　该公司的权益净利率在</w:t>
      </w:r>
      <w:r>
        <w:rPr>
          <w:rFonts w:hint="eastAsia"/>
        </w:rPr>
        <w:t>2013</w:t>
      </w:r>
      <w:r>
        <w:rPr>
          <w:rFonts w:hint="eastAsia"/>
        </w:rPr>
        <w:t>年至</w:t>
      </w:r>
      <w:r>
        <w:rPr>
          <w:rFonts w:hint="eastAsia"/>
        </w:rPr>
        <w:t>2014</w:t>
      </w:r>
      <w:r>
        <w:rPr>
          <w:rFonts w:hint="eastAsia"/>
        </w:rPr>
        <w:t>年间出现了一定程度的好转，分别从</w:t>
      </w:r>
      <w:r>
        <w:rPr>
          <w:rFonts w:hint="eastAsia"/>
        </w:rPr>
        <w:t>2013</w:t>
      </w:r>
      <w:r>
        <w:rPr>
          <w:rFonts w:hint="eastAsia"/>
        </w:rPr>
        <w:t>年的</w:t>
      </w:r>
      <w:r>
        <w:rPr>
          <w:rFonts w:hint="eastAsia"/>
        </w:rPr>
        <w:t>0.097</w:t>
      </w:r>
      <w:r>
        <w:rPr>
          <w:rFonts w:hint="eastAsia"/>
        </w:rPr>
        <w:t>增加至</w:t>
      </w:r>
      <w:r>
        <w:rPr>
          <w:rFonts w:hint="eastAsia"/>
        </w:rPr>
        <w:t>2014</w:t>
      </w:r>
      <w:r>
        <w:rPr>
          <w:rFonts w:hint="eastAsia"/>
        </w:rPr>
        <w:t>年的</w:t>
      </w:r>
      <w:r>
        <w:rPr>
          <w:rFonts w:hint="eastAsia"/>
        </w:rPr>
        <w:t>0.112.</w:t>
      </w:r>
      <w:r>
        <w:rPr>
          <w:rFonts w:hint="eastAsia"/>
        </w:rPr>
        <w:t>企业的投资者在很大程度上依据这个指标来判断是否投资或是否转让股份，考察经营者业绩和决定股利分配政策。这些指标对公司的管理者也至关重要。</w:t>
      </w:r>
    </w:p>
    <w:p w:rsidR="00E561C6" w:rsidRDefault="00E561C6" w:rsidP="00E561C6">
      <w:pPr>
        <w:ind w:firstLine="420"/>
      </w:pPr>
      <w:r>
        <w:rPr>
          <w:rFonts w:hint="eastAsia"/>
        </w:rPr>
        <w:t>（</w:t>
      </w:r>
      <w:r>
        <w:rPr>
          <w:rFonts w:hint="eastAsia"/>
        </w:rPr>
        <w:t>2</w:t>
      </w:r>
      <w:r>
        <w:rPr>
          <w:rFonts w:hint="eastAsia"/>
        </w:rPr>
        <w:t>）权益净利率分析表</w:t>
      </w:r>
    </w:p>
    <w:tbl>
      <w:tblPr>
        <w:tblW w:w="6252"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49"/>
        <w:gridCol w:w="1418"/>
        <w:gridCol w:w="506"/>
        <w:gridCol w:w="1206"/>
        <w:gridCol w:w="556"/>
        <w:gridCol w:w="1417"/>
      </w:tblGrid>
      <w:tr w:rsidR="00E561C6" w:rsidRPr="00E561C6" w:rsidTr="00E561C6">
        <w:trPr>
          <w:trHeight w:val="285"/>
        </w:trPr>
        <w:tc>
          <w:tcPr>
            <w:tcW w:w="1149"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A公司</w:t>
            </w:r>
          </w:p>
        </w:tc>
        <w:tc>
          <w:tcPr>
            <w:tcW w:w="1418"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权益净利率</w:t>
            </w:r>
          </w:p>
        </w:tc>
        <w:tc>
          <w:tcPr>
            <w:tcW w:w="506"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w:t>
            </w:r>
          </w:p>
        </w:tc>
        <w:tc>
          <w:tcPr>
            <w:tcW w:w="1206"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权益乘数</w:t>
            </w:r>
          </w:p>
        </w:tc>
        <w:tc>
          <w:tcPr>
            <w:tcW w:w="556"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w:t>
            </w:r>
          </w:p>
        </w:tc>
        <w:tc>
          <w:tcPr>
            <w:tcW w:w="1417"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资产净利率</w:t>
            </w:r>
          </w:p>
        </w:tc>
      </w:tr>
      <w:tr w:rsidR="00E561C6" w:rsidRPr="00E561C6" w:rsidTr="00E561C6">
        <w:trPr>
          <w:trHeight w:val="270"/>
        </w:trPr>
        <w:tc>
          <w:tcPr>
            <w:tcW w:w="1149"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20</w:t>
            </w:r>
            <w:r>
              <w:rPr>
                <w:rFonts w:ascii="宋体" w:eastAsia="宋体" w:hAnsi="宋体" w:cs="宋体" w:hint="eastAsia"/>
                <w:color w:val="000000"/>
                <w:kern w:val="0"/>
                <w:sz w:val="22"/>
              </w:rPr>
              <w:t>13</w:t>
            </w:r>
            <w:r w:rsidRPr="00E561C6">
              <w:rPr>
                <w:rFonts w:ascii="宋体" w:eastAsia="宋体" w:hAnsi="宋体" w:cs="宋体" w:hint="eastAsia"/>
                <w:color w:val="000000"/>
                <w:kern w:val="0"/>
                <w:sz w:val="22"/>
              </w:rPr>
              <w:t>年</w:t>
            </w:r>
          </w:p>
        </w:tc>
        <w:tc>
          <w:tcPr>
            <w:tcW w:w="1418" w:type="dxa"/>
            <w:shd w:val="clear" w:color="auto" w:fill="auto"/>
            <w:noWrap/>
            <w:vAlign w:val="center"/>
            <w:hideMark/>
          </w:tcPr>
          <w:p w:rsidR="00E561C6" w:rsidRPr="00E561C6" w:rsidRDefault="00E561C6" w:rsidP="00E561C6">
            <w:pPr>
              <w:widowControl/>
              <w:ind w:right="440"/>
              <w:jc w:val="center"/>
              <w:rPr>
                <w:rFonts w:ascii="宋体" w:eastAsia="宋体" w:hAnsi="宋体" w:cs="宋体"/>
                <w:color w:val="000000"/>
                <w:kern w:val="0"/>
                <w:sz w:val="22"/>
              </w:rPr>
            </w:pPr>
            <w:r w:rsidRPr="00E561C6">
              <w:rPr>
                <w:rFonts w:ascii="宋体" w:eastAsia="宋体" w:hAnsi="宋体" w:cs="宋体" w:hint="eastAsia"/>
                <w:color w:val="000000"/>
                <w:kern w:val="0"/>
                <w:sz w:val="22"/>
              </w:rPr>
              <w:t>0.097</w:t>
            </w:r>
          </w:p>
        </w:tc>
        <w:tc>
          <w:tcPr>
            <w:tcW w:w="506"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w:t>
            </w:r>
          </w:p>
        </w:tc>
        <w:tc>
          <w:tcPr>
            <w:tcW w:w="1206" w:type="dxa"/>
            <w:shd w:val="clear" w:color="auto" w:fill="auto"/>
            <w:noWrap/>
            <w:vAlign w:val="center"/>
            <w:hideMark/>
          </w:tcPr>
          <w:p w:rsidR="00E561C6" w:rsidRPr="00E561C6" w:rsidRDefault="00E561C6" w:rsidP="00E561C6">
            <w:pPr>
              <w:widowControl/>
              <w:ind w:right="440"/>
              <w:jc w:val="center"/>
              <w:rPr>
                <w:rFonts w:ascii="宋体" w:eastAsia="宋体" w:hAnsi="宋体" w:cs="宋体"/>
                <w:color w:val="000000"/>
                <w:kern w:val="0"/>
                <w:sz w:val="22"/>
              </w:rPr>
            </w:pPr>
            <w:r w:rsidRPr="00E561C6">
              <w:rPr>
                <w:rFonts w:ascii="宋体" w:eastAsia="宋体" w:hAnsi="宋体" w:cs="宋体" w:hint="eastAsia"/>
                <w:color w:val="000000"/>
                <w:kern w:val="0"/>
                <w:sz w:val="22"/>
              </w:rPr>
              <w:t>3.049</w:t>
            </w:r>
          </w:p>
        </w:tc>
        <w:tc>
          <w:tcPr>
            <w:tcW w:w="556"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w:t>
            </w:r>
          </w:p>
        </w:tc>
        <w:tc>
          <w:tcPr>
            <w:tcW w:w="1417"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0.032</w:t>
            </w:r>
          </w:p>
        </w:tc>
      </w:tr>
      <w:tr w:rsidR="00E561C6" w:rsidRPr="00E561C6" w:rsidTr="00E561C6">
        <w:trPr>
          <w:trHeight w:val="270"/>
        </w:trPr>
        <w:tc>
          <w:tcPr>
            <w:tcW w:w="1149"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20</w:t>
            </w:r>
            <w:r>
              <w:rPr>
                <w:rFonts w:ascii="宋体" w:eastAsia="宋体" w:hAnsi="宋体" w:cs="宋体" w:hint="eastAsia"/>
                <w:color w:val="000000"/>
                <w:kern w:val="0"/>
                <w:sz w:val="22"/>
              </w:rPr>
              <w:t>14</w:t>
            </w:r>
            <w:r w:rsidRPr="00E561C6">
              <w:rPr>
                <w:rFonts w:ascii="宋体" w:eastAsia="宋体" w:hAnsi="宋体" w:cs="宋体" w:hint="eastAsia"/>
                <w:color w:val="000000"/>
                <w:kern w:val="0"/>
                <w:sz w:val="22"/>
              </w:rPr>
              <w:t>年</w:t>
            </w:r>
          </w:p>
        </w:tc>
        <w:tc>
          <w:tcPr>
            <w:tcW w:w="1418" w:type="dxa"/>
            <w:shd w:val="clear" w:color="auto" w:fill="auto"/>
            <w:noWrap/>
            <w:vAlign w:val="center"/>
            <w:hideMark/>
          </w:tcPr>
          <w:p w:rsidR="00E561C6" w:rsidRPr="00E561C6" w:rsidRDefault="00E561C6" w:rsidP="00E561C6">
            <w:pPr>
              <w:widowControl/>
              <w:ind w:right="440"/>
              <w:jc w:val="center"/>
              <w:rPr>
                <w:rFonts w:ascii="宋体" w:eastAsia="宋体" w:hAnsi="宋体" w:cs="宋体"/>
                <w:color w:val="000000"/>
                <w:kern w:val="0"/>
                <w:sz w:val="22"/>
              </w:rPr>
            </w:pPr>
            <w:r w:rsidRPr="00E561C6">
              <w:rPr>
                <w:rFonts w:ascii="宋体" w:eastAsia="宋体" w:hAnsi="宋体" w:cs="宋体" w:hint="eastAsia"/>
                <w:color w:val="000000"/>
                <w:kern w:val="0"/>
                <w:sz w:val="22"/>
              </w:rPr>
              <w:t>0.112</w:t>
            </w:r>
          </w:p>
        </w:tc>
        <w:tc>
          <w:tcPr>
            <w:tcW w:w="506"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w:t>
            </w:r>
          </w:p>
        </w:tc>
        <w:tc>
          <w:tcPr>
            <w:tcW w:w="1206" w:type="dxa"/>
            <w:shd w:val="clear" w:color="auto" w:fill="auto"/>
            <w:noWrap/>
            <w:vAlign w:val="center"/>
            <w:hideMark/>
          </w:tcPr>
          <w:p w:rsidR="00E561C6" w:rsidRPr="00E561C6" w:rsidRDefault="00E561C6" w:rsidP="00E561C6">
            <w:pPr>
              <w:widowControl/>
              <w:ind w:right="440"/>
              <w:jc w:val="center"/>
              <w:rPr>
                <w:rFonts w:ascii="宋体" w:eastAsia="宋体" w:hAnsi="宋体" w:cs="宋体"/>
                <w:color w:val="000000"/>
                <w:kern w:val="0"/>
                <w:sz w:val="22"/>
              </w:rPr>
            </w:pPr>
            <w:r w:rsidRPr="00E561C6">
              <w:rPr>
                <w:rFonts w:ascii="宋体" w:eastAsia="宋体" w:hAnsi="宋体" w:cs="宋体" w:hint="eastAsia"/>
                <w:color w:val="000000"/>
                <w:kern w:val="0"/>
                <w:sz w:val="22"/>
              </w:rPr>
              <w:t>2.874</w:t>
            </w:r>
          </w:p>
        </w:tc>
        <w:tc>
          <w:tcPr>
            <w:tcW w:w="556"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w:t>
            </w:r>
          </w:p>
        </w:tc>
        <w:tc>
          <w:tcPr>
            <w:tcW w:w="1417" w:type="dxa"/>
            <w:shd w:val="clear" w:color="auto" w:fill="auto"/>
            <w:noWrap/>
            <w:vAlign w:val="center"/>
            <w:hideMark/>
          </w:tcPr>
          <w:p w:rsidR="00E561C6" w:rsidRPr="00E561C6" w:rsidRDefault="00E561C6" w:rsidP="00E561C6">
            <w:pPr>
              <w:widowControl/>
              <w:jc w:val="center"/>
              <w:rPr>
                <w:rFonts w:ascii="宋体" w:eastAsia="宋体" w:hAnsi="宋体" w:cs="宋体"/>
                <w:color w:val="000000"/>
                <w:kern w:val="0"/>
                <w:sz w:val="22"/>
              </w:rPr>
            </w:pPr>
            <w:r w:rsidRPr="00E561C6">
              <w:rPr>
                <w:rFonts w:ascii="宋体" w:eastAsia="宋体" w:hAnsi="宋体" w:cs="宋体" w:hint="eastAsia"/>
                <w:color w:val="000000"/>
                <w:kern w:val="0"/>
                <w:sz w:val="22"/>
              </w:rPr>
              <w:t>0.39</w:t>
            </w:r>
          </w:p>
        </w:tc>
      </w:tr>
    </w:tbl>
    <w:p w:rsidR="00E561C6" w:rsidRDefault="00E561C6" w:rsidP="00E561C6">
      <w:pPr>
        <w:ind w:firstLine="420"/>
      </w:pPr>
      <w:r w:rsidRPr="00E561C6">
        <w:rPr>
          <w:rFonts w:hint="eastAsia"/>
        </w:rPr>
        <w:t>通过分解可以明显地看出，该公司权益净利率的变动在于资本结构（权益乘数）变动和资产利用效果（资产净利率）变动两方面共同作用的结果。而该公司的资产净利率太低，显示出很差的资产利用效果。</w:t>
      </w:r>
    </w:p>
    <w:p w:rsidR="00E561C6" w:rsidRDefault="00E561C6" w:rsidP="00E561C6">
      <w:r>
        <w:rPr>
          <w:rFonts w:hint="eastAsia"/>
        </w:rPr>
        <w:t>2.</w:t>
      </w:r>
      <w:r>
        <w:rPr>
          <w:rFonts w:hint="eastAsia"/>
        </w:rPr>
        <w:t>分解分析过程：</w:t>
      </w:r>
    </w:p>
    <w:p w:rsidR="00E561C6" w:rsidRDefault="00E561C6" w:rsidP="00E561C6">
      <w:pPr>
        <w:ind w:firstLine="420"/>
      </w:pPr>
      <w:r>
        <w:rPr>
          <w:rFonts w:hint="eastAsia"/>
        </w:rPr>
        <w:t>（</w:t>
      </w:r>
      <w:r>
        <w:rPr>
          <w:rFonts w:hint="eastAsia"/>
        </w:rPr>
        <w:t>1</w:t>
      </w:r>
      <w:r>
        <w:rPr>
          <w:rFonts w:hint="eastAsia"/>
        </w:rPr>
        <w:t>）权益净利率的分解：</w:t>
      </w:r>
    </w:p>
    <w:p w:rsidR="00E561C6" w:rsidRDefault="00E561C6" w:rsidP="00E561C6">
      <w:pPr>
        <w:ind w:firstLine="420"/>
      </w:pPr>
      <w:r>
        <w:rPr>
          <w:rFonts w:hint="eastAsia"/>
        </w:rPr>
        <w:t>权益净利率＝资产净利率×权益乘数</w:t>
      </w:r>
    </w:p>
    <w:p w:rsidR="00E561C6" w:rsidRDefault="00E561C6" w:rsidP="00E561C6">
      <w:r>
        <w:rPr>
          <w:rFonts w:hint="eastAsia"/>
        </w:rPr>
        <w:t xml:space="preserve">　　</w:t>
      </w:r>
      <w:r>
        <w:rPr>
          <w:rFonts w:hint="eastAsia"/>
        </w:rPr>
        <w:t>2013</w:t>
      </w:r>
      <w:r>
        <w:rPr>
          <w:rFonts w:hint="eastAsia"/>
        </w:rPr>
        <w:t>年</w:t>
      </w:r>
      <w:r>
        <w:rPr>
          <w:rFonts w:hint="eastAsia"/>
        </w:rPr>
        <w:t xml:space="preserve"> 0.097</w:t>
      </w:r>
      <w:r>
        <w:rPr>
          <w:rFonts w:hint="eastAsia"/>
        </w:rPr>
        <w:t>＝</w:t>
      </w:r>
      <w:r>
        <w:rPr>
          <w:rFonts w:hint="eastAsia"/>
        </w:rPr>
        <w:t>0.032</w:t>
      </w:r>
      <w:r>
        <w:rPr>
          <w:rFonts w:hint="eastAsia"/>
        </w:rPr>
        <w:t>×</w:t>
      </w:r>
      <w:r>
        <w:rPr>
          <w:rFonts w:hint="eastAsia"/>
        </w:rPr>
        <w:t>3.049</w:t>
      </w:r>
    </w:p>
    <w:p w:rsidR="00E561C6" w:rsidRDefault="00E561C6" w:rsidP="00E561C6">
      <w:r>
        <w:rPr>
          <w:rFonts w:hint="eastAsia"/>
        </w:rPr>
        <w:t xml:space="preserve">　　</w:t>
      </w:r>
      <w:r>
        <w:rPr>
          <w:rFonts w:hint="eastAsia"/>
        </w:rPr>
        <w:t>2014</w:t>
      </w:r>
      <w:r>
        <w:rPr>
          <w:rFonts w:hint="eastAsia"/>
        </w:rPr>
        <w:t>年</w:t>
      </w:r>
      <w:r>
        <w:rPr>
          <w:rFonts w:hint="eastAsia"/>
        </w:rPr>
        <w:t xml:space="preserve"> 0.112</w:t>
      </w:r>
      <w:r>
        <w:rPr>
          <w:rFonts w:hint="eastAsia"/>
        </w:rPr>
        <w:t>＝</w:t>
      </w:r>
      <w:r>
        <w:rPr>
          <w:rFonts w:hint="eastAsia"/>
        </w:rPr>
        <w:t>0.039</w:t>
      </w:r>
      <w:r>
        <w:rPr>
          <w:rFonts w:hint="eastAsia"/>
        </w:rPr>
        <w:t>×</w:t>
      </w:r>
      <w:r>
        <w:rPr>
          <w:rFonts w:hint="eastAsia"/>
        </w:rPr>
        <w:t>2.874</w:t>
      </w:r>
    </w:p>
    <w:p w:rsidR="00E561C6" w:rsidRDefault="00E561C6" w:rsidP="00E561C6">
      <w:pPr>
        <w:ind w:firstLine="420"/>
      </w:pPr>
      <w:r>
        <w:rPr>
          <w:rFonts w:hint="eastAsia"/>
        </w:rPr>
        <w:t>经过分解表明，权益净利率的改变是由于资本结构的改变（权益乘数下降），同时资产利用和成本控制出现变动（资产净利率也有改变）。</w:t>
      </w:r>
    </w:p>
    <w:p w:rsidR="00E561C6" w:rsidRDefault="00E561C6" w:rsidP="00E561C6">
      <w:pPr>
        <w:ind w:firstLine="420"/>
      </w:pPr>
      <w:r>
        <w:rPr>
          <w:rFonts w:hint="eastAsia"/>
        </w:rPr>
        <w:lastRenderedPageBreak/>
        <w:t>（</w:t>
      </w:r>
      <w:r>
        <w:rPr>
          <w:rFonts w:hint="eastAsia"/>
        </w:rPr>
        <w:t>2</w:t>
      </w:r>
      <w:r>
        <w:rPr>
          <w:rFonts w:hint="eastAsia"/>
        </w:rPr>
        <w:t>）对资产净利率进行分解：</w:t>
      </w:r>
    </w:p>
    <w:p w:rsidR="00E561C6" w:rsidRDefault="00E561C6" w:rsidP="00E561C6">
      <w:r>
        <w:rPr>
          <w:rFonts w:hint="eastAsia"/>
        </w:rPr>
        <w:t xml:space="preserve">　　资产净利率＝销售净利率×总资产周转率</w:t>
      </w:r>
    </w:p>
    <w:p w:rsidR="00E561C6" w:rsidRDefault="00E561C6" w:rsidP="00E561C6">
      <w:r>
        <w:rPr>
          <w:rFonts w:hint="eastAsia"/>
        </w:rPr>
        <w:t xml:space="preserve">　　</w:t>
      </w:r>
      <w:r>
        <w:rPr>
          <w:rFonts w:hint="eastAsia"/>
        </w:rPr>
        <w:t>2013</w:t>
      </w:r>
      <w:r>
        <w:rPr>
          <w:rFonts w:hint="eastAsia"/>
        </w:rPr>
        <w:t>年</w:t>
      </w:r>
      <w:r>
        <w:rPr>
          <w:rFonts w:hint="eastAsia"/>
        </w:rPr>
        <w:t xml:space="preserve"> 0.032</w:t>
      </w:r>
      <w:r>
        <w:rPr>
          <w:rFonts w:hint="eastAsia"/>
        </w:rPr>
        <w:t>＝</w:t>
      </w:r>
      <w:r>
        <w:rPr>
          <w:rFonts w:hint="eastAsia"/>
        </w:rPr>
        <w:t>0.025</w:t>
      </w:r>
      <w:r>
        <w:rPr>
          <w:rFonts w:hint="eastAsia"/>
        </w:rPr>
        <w:t>×</w:t>
      </w:r>
      <w:r>
        <w:rPr>
          <w:rFonts w:hint="eastAsia"/>
        </w:rPr>
        <w:t>1.34</w:t>
      </w:r>
    </w:p>
    <w:p w:rsidR="00E561C6" w:rsidRDefault="00E561C6" w:rsidP="00E561C6">
      <w:r>
        <w:rPr>
          <w:rFonts w:hint="eastAsia"/>
        </w:rPr>
        <w:t xml:space="preserve">　　</w:t>
      </w:r>
      <w:r>
        <w:rPr>
          <w:rFonts w:hint="eastAsia"/>
        </w:rPr>
        <w:t>2014</w:t>
      </w:r>
      <w:r>
        <w:rPr>
          <w:rFonts w:hint="eastAsia"/>
        </w:rPr>
        <w:t>年</w:t>
      </w:r>
      <w:r>
        <w:rPr>
          <w:rFonts w:hint="eastAsia"/>
        </w:rPr>
        <w:t xml:space="preserve"> 0.039</w:t>
      </w:r>
      <w:r>
        <w:rPr>
          <w:rFonts w:hint="eastAsia"/>
        </w:rPr>
        <w:t>＝</w:t>
      </w:r>
      <w:r>
        <w:rPr>
          <w:rFonts w:hint="eastAsia"/>
        </w:rPr>
        <w:t>0.017</w:t>
      </w:r>
      <w:r>
        <w:rPr>
          <w:rFonts w:hint="eastAsia"/>
        </w:rPr>
        <w:t>×</w:t>
      </w:r>
      <w:r>
        <w:rPr>
          <w:rFonts w:hint="eastAsia"/>
        </w:rPr>
        <w:t>2.29</w:t>
      </w:r>
    </w:p>
    <w:p w:rsidR="00E561C6" w:rsidRDefault="00E561C6" w:rsidP="00E561C6">
      <w:pPr>
        <w:ind w:firstLine="420"/>
      </w:pPr>
      <w:r>
        <w:rPr>
          <w:rFonts w:hint="eastAsia"/>
        </w:rPr>
        <w:t>通过分解可以看出</w:t>
      </w:r>
      <w:r>
        <w:rPr>
          <w:rFonts w:hint="eastAsia"/>
        </w:rPr>
        <w:t>2014</w:t>
      </w:r>
      <w:r>
        <w:rPr>
          <w:rFonts w:hint="eastAsia"/>
        </w:rPr>
        <w:t>年的总资产周转率有所提高，说明资产的利用得到了比较好的控制，显示出比前一年较好的效果，表明该公司利用其总资产产生销售收入的效率在增加。总资产周转率提高的同时销售净利率的减少阻碍了资产净利率的增加。</w:t>
      </w:r>
    </w:p>
    <w:p w:rsidR="00E561C6" w:rsidRDefault="00E561C6" w:rsidP="00E561C6">
      <w:pPr>
        <w:ind w:firstLine="420"/>
      </w:pPr>
      <w:r>
        <w:rPr>
          <w:rFonts w:hint="eastAsia"/>
        </w:rPr>
        <w:t>（</w:t>
      </w:r>
      <w:r>
        <w:rPr>
          <w:rFonts w:hint="eastAsia"/>
        </w:rPr>
        <w:t>3</w:t>
      </w:r>
      <w:r>
        <w:rPr>
          <w:rFonts w:hint="eastAsia"/>
        </w:rPr>
        <w:t>）对销售净利率进行分解：</w:t>
      </w:r>
    </w:p>
    <w:p w:rsidR="00E561C6" w:rsidRDefault="00E561C6" w:rsidP="00E561C6">
      <w:r>
        <w:rPr>
          <w:rFonts w:hint="eastAsia"/>
        </w:rPr>
        <w:t xml:space="preserve">　　销售净利率＝净利润÷销售收入</w:t>
      </w:r>
    </w:p>
    <w:p w:rsidR="00E561C6" w:rsidRDefault="00E561C6" w:rsidP="00E561C6">
      <w:r>
        <w:rPr>
          <w:rFonts w:hint="eastAsia"/>
        </w:rPr>
        <w:t xml:space="preserve">　　</w:t>
      </w:r>
      <w:r>
        <w:rPr>
          <w:rFonts w:hint="eastAsia"/>
        </w:rPr>
        <w:t>2013</w:t>
      </w:r>
      <w:r>
        <w:rPr>
          <w:rFonts w:hint="eastAsia"/>
        </w:rPr>
        <w:t>年</w:t>
      </w:r>
      <w:r>
        <w:rPr>
          <w:rFonts w:hint="eastAsia"/>
        </w:rPr>
        <w:t xml:space="preserve"> 0.025</w:t>
      </w:r>
      <w:r>
        <w:rPr>
          <w:rFonts w:hint="eastAsia"/>
        </w:rPr>
        <w:t>＝</w:t>
      </w:r>
      <w:r>
        <w:rPr>
          <w:rFonts w:hint="eastAsia"/>
        </w:rPr>
        <w:t>10284.04</w:t>
      </w:r>
      <w:r>
        <w:rPr>
          <w:rFonts w:hint="eastAsia"/>
        </w:rPr>
        <w:t>÷</w:t>
      </w:r>
      <w:r>
        <w:rPr>
          <w:rFonts w:hint="eastAsia"/>
        </w:rPr>
        <w:t>411224.01</w:t>
      </w:r>
    </w:p>
    <w:p w:rsidR="00E561C6" w:rsidRDefault="00E561C6" w:rsidP="00E561C6">
      <w:r>
        <w:rPr>
          <w:rFonts w:hint="eastAsia"/>
        </w:rPr>
        <w:t xml:space="preserve">　　</w:t>
      </w:r>
      <w:r>
        <w:rPr>
          <w:rFonts w:hint="eastAsia"/>
        </w:rPr>
        <w:t>2014</w:t>
      </w:r>
      <w:r>
        <w:rPr>
          <w:rFonts w:hint="eastAsia"/>
        </w:rPr>
        <w:t>年</w:t>
      </w:r>
      <w:r>
        <w:rPr>
          <w:rFonts w:hint="eastAsia"/>
        </w:rPr>
        <w:t xml:space="preserve"> 0.017</w:t>
      </w:r>
      <w:r>
        <w:rPr>
          <w:rFonts w:hint="eastAsia"/>
        </w:rPr>
        <w:t>＝</w:t>
      </w:r>
      <w:r>
        <w:rPr>
          <w:rFonts w:hint="eastAsia"/>
        </w:rPr>
        <w:t>12653.92</w:t>
      </w:r>
      <w:r>
        <w:rPr>
          <w:rFonts w:hint="eastAsia"/>
        </w:rPr>
        <w:t>÷</w:t>
      </w:r>
      <w:r>
        <w:rPr>
          <w:rFonts w:hint="eastAsia"/>
        </w:rPr>
        <w:t>757613.81</w:t>
      </w:r>
    </w:p>
    <w:p w:rsidR="00E561C6" w:rsidRDefault="00E561C6" w:rsidP="00E561C6">
      <w:r>
        <w:rPr>
          <w:rFonts w:hint="eastAsia"/>
        </w:rPr>
        <w:t xml:space="preserve">　　该公司</w:t>
      </w:r>
      <w:r>
        <w:rPr>
          <w:rFonts w:hint="eastAsia"/>
        </w:rPr>
        <w:t>2002</w:t>
      </w:r>
      <w:r>
        <w:rPr>
          <w:rFonts w:hint="eastAsia"/>
        </w:rPr>
        <w:t>年大幅度提高了销售收入，但是净利润的提高幅度却很小，分析其原因是成本费用增多，从表</w:t>
      </w:r>
      <w:r>
        <w:rPr>
          <w:rFonts w:hint="eastAsia"/>
        </w:rPr>
        <w:t>1</w:t>
      </w:r>
      <w:r>
        <w:rPr>
          <w:rFonts w:hint="eastAsia"/>
        </w:rPr>
        <w:t>可知：全部成本从</w:t>
      </w:r>
      <w:r>
        <w:rPr>
          <w:rFonts w:hint="eastAsia"/>
        </w:rPr>
        <w:t>2013</w:t>
      </w:r>
      <w:r>
        <w:rPr>
          <w:rFonts w:hint="eastAsia"/>
        </w:rPr>
        <w:t>年</w:t>
      </w:r>
      <w:r>
        <w:rPr>
          <w:rFonts w:hint="eastAsia"/>
        </w:rPr>
        <w:t>403967.43</w:t>
      </w:r>
      <w:r>
        <w:rPr>
          <w:rFonts w:hint="eastAsia"/>
        </w:rPr>
        <w:t>万元增加到</w:t>
      </w:r>
      <w:r>
        <w:rPr>
          <w:rFonts w:hint="eastAsia"/>
        </w:rPr>
        <w:t>2014</w:t>
      </w:r>
      <w:r>
        <w:rPr>
          <w:rFonts w:hint="eastAsia"/>
        </w:rPr>
        <w:t>年</w:t>
      </w:r>
      <w:r>
        <w:rPr>
          <w:rFonts w:hint="eastAsia"/>
        </w:rPr>
        <w:t>736747.24</w:t>
      </w:r>
      <w:r>
        <w:rPr>
          <w:rFonts w:hint="eastAsia"/>
        </w:rPr>
        <w:t>万元，与销售收入的增加幅度大致相当。</w:t>
      </w:r>
    </w:p>
    <w:p w:rsidR="00E561C6" w:rsidRPr="00E561C6" w:rsidRDefault="00E561C6" w:rsidP="00E561C6">
      <w:r>
        <w:rPr>
          <w:rFonts w:hint="eastAsia"/>
        </w:rPr>
        <w:t xml:space="preserve">　　在本例中，导致权益利润率小的主原因是全部成本过大。也正是因为全部成本的大幅度提高导致了净利润提高幅度不大，而销售收入大幅度增加，就引起了销售净利率的减少，显示出该公司销售盈利能力的降低。资产净利率的提高当归功于总资产周转率的提高，销售净利率的减少却起到了阻碍的作用。</w:t>
      </w:r>
    </w:p>
    <w:sectPr w:rsidR="00E561C6" w:rsidRPr="00E561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C4C" w:rsidRDefault="00820C4C" w:rsidP="0080173A">
      <w:r>
        <w:separator/>
      </w:r>
    </w:p>
  </w:endnote>
  <w:endnote w:type="continuationSeparator" w:id="0">
    <w:p w:rsidR="00820C4C" w:rsidRDefault="00820C4C" w:rsidP="0080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C4C" w:rsidRDefault="00820C4C" w:rsidP="0080173A">
      <w:r>
        <w:separator/>
      </w:r>
    </w:p>
  </w:footnote>
  <w:footnote w:type="continuationSeparator" w:id="0">
    <w:p w:rsidR="00820C4C" w:rsidRDefault="00820C4C" w:rsidP="008017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1C6"/>
    <w:rsid w:val="00017FF8"/>
    <w:rsid w:val="00024839"/>
    <w:rsid w:val="000340B4"/>
    <w:rsid w:val="00034755"/>
    <w:rsid w:val="000356D2"/>
    <w:rsid w:val="00046FA5"/>
    <w:rsid w:val="00060DCA"/>
    <w:rsid w:val="00084133"/>
    <w:rsid w:val="000C0733"/>
    <w:rsid w:val="000D6E7E"/>
    <w:rsid w:val="000E16A1"/>
    <w:rsid w:val="000E7A65"/>
    <w:rsid w:val="000F0287"/>
    <w:rsid w:val="001150FB"/>
    <w:rsid w:val="00132FA4"/>
    <w:rsid w:val="00141AD8"/>
    <w:rsid w:val="0018156D"/>
    <w:rsid w:val="00186458"/>
    <w:rsid w:val="00197302"/>
    <w:rsid w:val="001A6F13"/>
    <w:rsid w:val="001B304D"/>
    <w:rsid w:val="001B78D1"/>
    <w:rsid w:val="001E76AE"/>
    <w:rsid w:val="001F1ED5"/>
    <w:rsid w:val="001F4388"/>
    <w:rsid w:val="002001BB"/>
    <w:rsid w:val="00207900"/>
    <w:rsid w:val="002700DE"/>
    <w:rsid w:val="00280C7F"/>
    <w:rsid w:val="00290E30"/>
    <w:rsid w:val="00294F17"/>
    <w:rsid w:val="002A652D"/>
    <w:rsid w:val="002C7260"/>
    <w:rsid w:val="002C774C"/>
    <w:rsid w:val="002E3016"/>
    <w:rsid w:val="002F570A"/>
    <w:rsid w:val="002F5EDE"/>
    <w:rsid w:val="003017F4"/>
    <w:rsid w:val="0030432A"/>
    <w:rsid w:val="00313D7E"/>
    <w:rsid w:val="00346F63"/>
    <w:rsid w:val="00357CB0"/>
    <w:rsid w:val="003767D1"/>
    <w:rsid w:val="00382996"/>
    <w:rsid w:val="003932CA"/>
    <w:rsid w:val="003B50D9"/>
    <w:rsid w:val="003C333F"/>
    <w:rsid w:val="00407A46"/>
    <w:rsid w:val="0041789F"/>
    <w:rsid w:val="00435AB0"/>
    <w:rsid w:val="0044677B"/>
    <w:rsid w:val="00471365"/>
    <w:rsid w:val="00472C90"/>
    <w:rsid w:val="00483ED2"/>
    <w:rsid w:val="00485727"/>
    <w:rsid w:val="004A6054"/>
    <w:rsid w:val="004B16A9"/>
    <w:rsid w:val="004C5350"/>
    <w:rsid w:val="004E40C8"/>
    <w:rsid w:val="00504BE0"/>
    <w:rsid w:val="00510FD2"/>
    <w:rsid w:val="00520F28"/>
    <w:rsid w:val="005655B5"/>
    <w:rsid w:val="00575818"/>
    <w:rsid w:val="00582D97"/>
    <w:rsid w:val="00587B8F"/>
    <w:rsid w:val="005932DB"/>
    <w:rsid w:val="005A724A"/>
    <w:rsid w:val="00611E00"/>
    <w:rsid w:val="00615BF6"/>
    <w:rsid w:val="00620766"/>
    <w:rsid w:val="0063238A"/>
    <w:rsid w:val="00686C03"/>
    <w:rsid w:val="006D26CA"/>
    <w:rsid w:val="006D52DD"/>
    <w:rsid w:val="006D5E26"/>
    <w:rsid w:val="006F7CDC"/>
    <w:rsid w:val="00744809"/>
    <w:rsid w:val="00746E67"/>
    <w:rsid w:val="00765CCF"/>
    <w:rsid w:val="00772E96"/>
    <w:rsid w:val="007815F5"/>
    <w:rsid w:val="007839CD"/>
    <w:rsid w:val="007A34E1"/>
    <w:rsid w:val="007A7FBA"/>
    <w:rsid w:val="007B67EF"/>
    <w:rsid w:val="007C6BAB"/>
    <w:rsid w:val="007C7906"/>
    <w:rsid w:val="007D2191"/>
    <w:rsid w:val="007E4E8D"/>
    <w:rsid w:val="007E5EED"/>
    <w:rsid w:val="007F7387"/>
    <w:rsid w:val="0080173A"/>
    <w:rsid w:val="00802FFD"/>
    <w:rsid w:val="00820C4C"/>
    <w:rsid w:val="0082654E"/>
    <w:rsid w:val="00854775"/>
    <w:rsid w:val="008639BA"/>
    <w:rsid w:val="00897757"/>
    <w:rsid w:val="008A0381"/>
    <w:rsid w:val="008B6DE1"/>
    <w:rsid w:val="008E3746"/>
    <w:rsid w:val="008F5F1D"/>
    <w:rsid w:val="0090259D"/>
    <w:rsid w:val="00923E89"/>
    <w:rsid w:val="00971579"/>
    <w:rsid w:val="00972C93"/>
    <w:rsid w:val="009751FE"/>
    <w:rsid w:val="009814C7"/>
    <w:rsid w:val="009B43C4"/>
    <w:rsid w:val="009E2554"/>
    <w:rsid w:val="009E6302"/>
    <w:rsid w:val="00A13BC5"/>
    <w:rsid w:val="00A91345"/>
    <w:rsid w:val="00AA1D76"/>
    <w:rsid w:val="00AC02EA"/>
    <w:rsid w:val="00B02169"/>
    <w:rsid w:val="00B030F9"/>
    <w:rsid w:val="00B43C74"/>
    <w:rsid w:val="00B61F91"/>
    <w:rsid w:val="00B832D9"/>
    <w:rsid w:val="00BA79A9"/>
    <w:rsid w:val="00BB3E2E"/>
    <w:rsid w:val="00BC0272"/>
    <w:rsid w:val="00BC3E3A"/>
    <w:rsid w:val="00BC766A"/>
    <w:rsid w:val="00BD111F"/>
    <w:rsid w:val="00C10906"/>
    <w:rsid w:val="00C31193"/>
    <w:rsid w:val="00C66963"/>
    <w:rsid w:val="00C7386D"/>
    <w:rsid w:val="00C76820"/>
    <w:rsid w:val="00CA119B"/>
    <w:rsid w:val="00CA52D9"/>
    <w:rsid w:val="00CB1D93"/>
    <w:rsid w:val="00CB6639"/>
    <w:rsid w:val="00CD580A"/>
    <w:rsid w:val="00CE605C"/>
    <w:rsid w:val="00CF6789"/>
    <w:rsid w:val="00D14425"/>
    <w:rsid w:val="00D212DA"/>
    <w:rsid w:val="00D3384E"/>
    <w:rsid w:val="00D3483B"/>
    <w:rsid w:val="00D677D3"/>
    <w:rsid w:val="00D778B0"/>
    <w:rsid w:val="00D80559"/>
    <w:rsid w:val="00D81528"/>
    <w:rsid w:val="00D9263D"/>
    <w:rsid w:val="00DB3C45"/>
    <w:rsid w:val="00DD40EF"/>
    <w:rsid w:val="00DE35AD"/>
    <w:rsid w:val="00DF3026"/>
    <w:rsid w:val="00E11A82"/>
    <w:rsid w:val="00E561C6"/>
    <w:rsid w:val="00E91D7E"/>
    <w:rsid w:val="00EC3580"/>
    <w:rsid w:val="00ED2F6E"/>
    <w:rsid w:val="00EE05C5"/>
    <w:rsid w:val="00EE05FE"/>
    <w:rsid w:val="00EF6F0B"/>
    <w:rsid w:val="00F41198"/>
    <w:rsid w:val="00F860A5"/>
    <w:rsid w:val="00F87291"/>
    <w:rsid w:val="00F9333E"/>
    <w:rsid w:val="00FC02E2"/>
    <w:rsid w:val="00FC1826"/>
    <w:rsid w:val="00FE66AC"/>
    <w:rsid w:val="00FF60B5"/>
  </w:rsids>
  <m:mathPr>
    <m:mathFont m:val="Cambria Math"/>
    <m:brkBin m:val="before"/>
    <m:brkBinSub m:val="--"/>
    <m:smallFrac m:val="0"/>
    <m:dispDef/>
    <m:lMargin m:val="0"/>
    <m:rMargin m:val="0"/>
    <m:defJc m:val="left"/>
    <m:wrapIndent m:val="0"/>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87"/>
    <w:pPr>
      <w:widowControl w:val="0"/>
      <w:jc w:val="both"/>
    </w:pPr>
  </w:style>
  <w:style w:type="paragraph" w:styleId="1">
    <w:name w:val="heading 1"/>
    <w:basedOn w:val="a"/>
    <w:next w:val="a"/>
    <w:link w:val="1Char"/>
    <w:uiPriority w:val="9"/>
    <w:qFormat/>
    <w:rsid w:val="000F02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F02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F028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F028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F028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F028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F028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F028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F0287"/>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0287"/>
    <w:rPr>
      <w:b/>
      <w:bCs/>
      <w:kern w:val="44"/>
      <w:sz w:val="44"/>
      <w:szCs w:val="44"/>
    </w:rPr>
  </w:style>
  <w:style w:type="character" w:customStyle="1" w:styleId="2Char">
    <w:name w:val="标题 2 Char"/>
    <w:basedOn w:val="a0"/>
    <w:link w:val="2"/>
    <w:uiPriority w:val="9"/>
    <w:semiHidden/>
    <w:rsid w:val="000F0287"/>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0F0287"/>
    <w:rPr>
      <w:b/>
      <w:bCs/>
      <w:sz w:val="32"/>
      <w:szCs w:val="32"/>
    </w:rPr>
  </w:style>
  <w:style w:type="character" w:customStyle="1" w:styleId="4Char">
    <w:name w:val="标题 4 Char"/>
    <w:basedOn w:val="a0"/>
    <w:link w:val="4"/>
    <w:uiPriority w:val="9"/>
    <w:semiHidden/>
    <w:rsid w:val="000F028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F0287"/>
    <w:rPr>
      <w:b/>
      <w:bCs/>
      <w:sz w:val="28"/>
      <w:szCs w:val="28"/>
    </w:rPr>
  </w:style>
  <w:style w:type="character" w:customStyle="1" w:styleId="6Char">
    <w:name w:val="标题 6 Char"/>
    <w:basedOn w:val="a0"/>
    <w:link w:val="6"/>
    <w:uiPriority w:val="9"/>
    <w:semiHidden/>
    <w:rsid w:val="000F028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0F0287"/>
    <w:rPr>
      <w:b/>
      <w:bCs/>
      <w:sz w:val="24"/>
      <w:szCs w:val="24"/>
    </w:rPr>
  </w:style>
  <w:style w:type="character" w:customStyle="1" w:styleId="8Char">
    <w:name w:val="标题 8 Char"/>
    <w:basedOn w:val="a0"/>
    <w:link w:val="8"/>
    <w:uiPriority w:val="9"/>
    <w:semiHidden/>
    <w:rsid w:val="000F0287"/>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0F0287"/>
    <w:rPr>
      <w:rFonts w:asciiTheme="majorHAnsi" w:eastAsiaTheme="majorEastAsia" w:hAnsiTheme="majorHAnsi" w:cstheme="majorBidi"/>
      <w:szCs w:val="21"/>
    </w:rPr>
  </w:style>
  <w:style w:type="paragraph" w:styleId="a3">
    <w:name w:val="caption"/>
    <w:basedOn w:val="a"/>
    <w:next w:val="a"/>
    <w:uiPriority w:val="35"/>
    <w:semiHidden/>
    <w:unhideWhenUsed/>
    <w:qFormat/>
    <w:rsid w:val="000F0287"/>
    <w:rPr>
      <w:rFonts w:asciiTheme="majorHAnsi" w:eastAsia="黑体" w:hAnsiTheme="majorHAnsi" w:cstheme="majorBidi"/>
      <w:sz w:val="20"/>
      <w:szCs w:val="20"/>
    </w:rPr>
  </w:style>
  <w:style w:type="paragraph" w:styleId="a4">
    <w:name w:val="Title"/>
    <w:basedOn w:val="a"/>
    <w:next w:val="a"/>
    <w:link w:val="Char"/>
    <w:qFormat/>
    <w:rsid w:val="000F028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rsid w:val="000F0287"/>
    <w:rPr>
      <w:rFonts w:asciiTheme="majorHAnsi" w:eastAsia="宋体" w:hAnsiTheme="majorHAnsi" w:cstheme="majorBidi"/>
      <w:b/>
      <w:bCs/>
      <w:sz w:val="32"/>
      <w:szCs w:val="32"/>
    </w:rPr>
  </w:style>
  <w:style w:type="paragraph" w:styleId="a5">
    <w:name w:val="Subtitle"/>
    <w:basedOn w:val="a"/>
    <w:next w:val="a"/>
    <w:link w:val="Char0"/>
    <w:uiPriority w:val="11"/>
    <w:qFormat/>
    <w:rsid w:val="000F028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0F0287"/>
    <w:rPr>
      <w:rFonts w:asciiTheme="majorHAnsi" w:eastAsia="宋体" w:hAnsiTheme="majorHAnsi" w:cstheme="majorBidi"/>
      <w:b/>
      <w:bCs/>
      <w:kern w:val="28"/>
      <w:sz w:val="32"/>
      <w:szCs w:val="32"/>
    </w:rPr>
  </w:style>
  <w:style w:type="character" w:styleId="a6">
    <w:name w:val="Strong"/>
    <w:uiPriority w:val="22"/>
    <w:qFormat/>
    <w:rsid w:val="000F0287"/>
    <w:rPr>
      <w:b/>
      <w:bCs/>
    </w:rPr>
  </w:style>
  <w:style w:type="character" w:styleId="a7">
    <w:name w:val="Emphasis"/>
    <w:uiPriority w:val="20"/>
    <w:qFormat/>
    <w:rsid w:val="000F0287"/>
    <w:rPr>
      <w:i/>
      <w:iCs/>
    </w:rPr>
  </w:style>
  <w:style w:type="paragraph" w:styleId="a8">
    <w:name w:val="No Spacing"/>
    <w:basedOn w:val="a"/>
    <w:link w:val="Char1"/>
    <w:uiPriority w:val="1"/>
    <w:qFormat/>
    <w:rsid w:val="000F0287"/>
  </w:style>
  <w:style w:type="character" w:customStyle="1" w:styleId="Char1">
    <w:name w:val="无间隔 Char"/>
    <w:basedOn w:val="a0"/>
    <w:link w:val="a8"/>
    <w:uiPriority w:val="1"/>
    <w:rsid w:val="000F0287"/>
  </w:style>
  <w:style w:type="paragraph" w:styleId="a9">
    <w:name w:val="List Paragraph"/>
    <w:basedOn w:val="a"/>
    <w:uiPriority w:val="34"/>
    <w:qFormat/>
    <w:rsid w:val="000F0287"/>
    <w:pPr>
      <w:ind w:firstLineChars="200" w:firstLine="420"/>
    </w:pPr>
  </w:style>
  <w:style w:type="paragraph" w:styleId="aa">
    <w:name w:val="Quote"/>
    <w:basedOn w:val="a"/>
    <w:next w:val="a"/>
    <w:link w:val="Char2"/>
    <w:uiPriority w:val="29"/>
    <w:qFormat/>
    <w:rsid w:val="000F0287"/>
    <w:rPr>
      <w:i/>
      <w:iCs/>
      <w:color w:val="000000" w:themeColor="text1"/>
    </w:rPr>
  </w:style>
  <w:style w:type="character" w:customStyle="1" w:styleId="Char2">
    <w:name w:val="引用 Char"/>
    <w:basedOn w:val="a0"/>
    <w:link w:val="aa"/>
    <w:uiPriority w:val="29"/>
    <w:rsid w:val="000F0287"/>
    <w:rPr>
      <w:i/>
      <w:iCs/>
      <w:color w:val="000000" w:themeColor="text1"/>
    </w:rPr>
  </w:style>
  <w:style w:type="paragraph" w:styleId="ab">
    <w:name w:val="Intense Quote"/>
    <w:basedOn w:val="a"/>
    <w:next w:val="a"/>
    <w:link w:val="Char3"/>
    <w:uiPriority w:val="30"/>
    <w:qFormat/>
    <w:rsid w:val="000F0287"/>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0F0287"/>
    <w:rPr>
      <w:b/>
      <w:bCs/>
      <w:i/>
      <w:iCs/>
      <w:color w:val="4F81BD" w:themeColor="accent1"/>
    </w:rPr>
  </w:style>
  <w:style w:type="character" w:styleId="ac">
    <w:name w:val="Subtle Emphasis"/>
    <w:uiPriority w:val="19"/>
    <w:qFormat/>
    <w:rsid w:val="000F0287"/>
    <w:rPr>
      <w:i/>
      <w:iCs/>
      <w:color w:val="808080" w:themeColor="text1" w:themeTint="7F"/>
    </w:rPr>
  </w:style>
  <w:style w:type="character" w:styleId="ad">
    <w:name w:val="Intense Emphasis"/>
    <w:uiPriority w:val="21"/>
    <w:qFormat/>
    <w:rsid w:val="000F0287"/>
    <w:rPr>
      <w:b/>
      <w:bCs/>
      <w:i/>
      <w:iCs/>
      <w:color w:val="4F81BD" w:themeColor="accent1"/>
    </w:rPr>
  </w:style>
  <w:style w:type="character" w:styleId="ae">
    <w:name w:val="Subtle Reference"/>
    <w:basedOn w:val="a0"/>
    <w:uiPriority w:val="31"/>
    <w:qFormat/>
    <w:rsid w:val="000F0287"/>
    <w:rPr>
      <w:smallCaps/>
      <w:color w:val="C0504D" w:themeColor="accent2"/>
      <w:u w:val="single"/>
    </w:rPr>
  </w:style>
  <w:style w:type="character" w:styleId="af">
    <w:name w:val="Intense Reference"/>
    <w:uiPriority w:val="32"/>
    <w:qFormat/>
    <w:rsid w:val="000F0287"/>
    <w:rPr>
      <w:b/>
      <w:bCs/>
      <w:smallCaps/>
      <w:color w:val="C0504D" w:themeColor="accent2"/>
      <w:spacing w:val="5"/>
      <w:u w:val="single"/>
    </w:rPr>
  </w:style>
  <w:style w:type="character" w:styleId="af0">
    <w:name w:val="Book Title"/>
    <w:uiPriority w:val="33"/>
    <w:qFormat/>
    <w:rsid w:val="000F0287"/>
    <w:rPr>
      <w:b/>
      <w:bCs/>
      <w:smallCaps/>
      <w:spacing w:val="5"/>
    </w:rPr>
  </w:style>
  <w:style w:type="paragraph" w:styleId="TOC">
    <w:name w:val="TOC Heading"/>
    <w:basedOn w:val="1"/>
    <w:next w:val="a"/>
    <w:uiPriority w:val="39"/>
    <w:semiHidden/>
    <w:unhideWhenUsed/>
    <w:qFormat/>
    <w:rsid w:val="000F0287"/>
    <w:pPr>
      <w:outlineLvl w:val="9"/>
    </w:pPr>
  </w:style>
  <w:style w:type="paragraph" w:styleId="af1">
    <w:name w:val="Normal (Web)"/>
    <w:basedOn w:val="a"/>
    <w:uiPriority w:val="99"/>
    <w:semiHidden/>
    <w:unhideWhenUsed/>
    <w:rsid w:val="00E561C6"/>
    <w:pPr>
      <w:widowControl/>
      <w:spacing w:before="100" w:beforeAutospacing="1" w:after="100" w:afterAutospacing="1"/>
      <w:jc w:val="left"/>
    </w:pPr>
    <w:rPr>
      <w:rFonts w:ascii="宋体" w:eastAsia="宋体" w:hAnsi="宋体" w:cs="宋体"/>
      <w:kern w:val="0"/>
      <w:sz w:val="24"/>
      <w:szCs w:val="24"/>
    </w:rPr>
  </w:style>
  <w:style w:type="paragraph" w:styleId="af2">
    <w:name w:val="header"/>
    <w:basedOn w:val="a"/>
    <w:link w:val="Char4"/>
    <w:uiPriority w:val="99"/>
    <w:unhideWhenUsed/>
    <w:rsid w:val="0080173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rsid w:val="0080173A"/>
    <w:rPr>
      <w:sz w:val="18"/>
      <w:szCs w:val="18"/>
    </w:rPr>
  </w:style>
  <w:style w:type="paragraph" w:styleId="af3">
    <w:name w:val="footer"/>
    <w:basedOn w:val="a"/>
    <w:link w:val="Char5"/>
    <w:uiPriority w:val="99"/>
    <w:unhideWhenUsed/>
    <w:rsid w:val="0080173A"/>
    <w:pPr>
      <w:tabs>
        <w:tab w:val="center" w:pos="4153"/>
        <w:tab w:val="right" w:pos="8306"/>
      </w:tabs>
      <w:snapToGrid w:val="0"/>
      <w:jc w:val="left"/>
    </w:pPr>
    <w:rPr>
      <w:sz w:val="18"/>
      <w:szCs w:val="18"/>
    </w:rPr>
  </w:style>
  <w:style w:type="character" w:customStyle="1" w:styleId="Char5">
    <w:name w:val="页脚 Char"/>
    <w:basedOn w:val="a0"/>
    <w:link w:val="af3"/>
    <w:uiPriority w:val="99"/>
    <w:rsid w:val="0080173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87"/>
    <w:pPr>
      <w:widowControl w:val="0"/>
      <w:jc w:val="both"/>
    </w:pPr>
  </w:style>
  <w:style w:type="paragraph" w:styleId="1">
    <w:name w:val="heading 1"/>
    <w:basedOn w:val="a"/>
    <w:next w:val="a"/>
    <w:link w:val="1Char"/>
    <w:uiPriority w:val="9"/>
    <w:qFormat/>
    <w:rsid w:val="000F02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F02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F028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F028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F028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F028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F028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F028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F0287"/>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0287"/>
    <w:rPr>
      <w:b/>
      <w:bCs/>
      <w:kern w:val="44"/>
      <w:sz w:val="44"/>
      <w:szCs w:val="44"/>
    </w:rPr>
  </w:style>
  <w:style w:type="character" w:customStyle="1" w:styleId="2Char">
    <w:name w:val="标题 2 Char"/>
    <w:basedOn w:val="a0"/>
    <w:link w:val="2"/>
    <w:uiPriority w:val="9"/>
    <w:semiHidden/>
    <w:rsid w:val="000F0287"/>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0F0287"/>
    <w:rPr>
      <w:b/>
      <w:bCs/>
      <w:sz w:val="32"/>
      <w:szCs w:val="32"/>
    </w:rPr>
  </w:style>
  <w:style w:type="character" w:customStyle="1" w:styleId="4Char">
    <w:name w:val="标题 4 Char"/>
    <w:basedOn w:val="a0"/>
    <w:link w:val="4"/>
    <w:uiPriority w:val="9"/>
    <w:semiHidden/>
    <w:rsid w:val="000F028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F0287"/>
    <w:rPr>
      <w:b/>
      <w:bCs/>
      <w:sz w:val="28"/>
      <w:szCs w:val="28"/>
    </w:rPr>
  </w:style>
  <w:style w:type="character" w:customStyle="1" w:styleId="6Char">
    <w:name w:val="标题 6 Char"/>
    <w:basedOn w:val="a0"/>
    <w:link w:val="6"/>
    <w:uiPriority w:val="9"/>
    <w:semiHidden/>
    <w:rsid w:val="000F028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0F0287"/>
    <w:rPr>
      <w:b/>
      <w:bCs/>
      <w:sz w:val="24"/>
      <w:szCs w:val="24"/>
    </w:rPr>
  </w:style>
  <w:style w:type="character" w:customStyle="1" w:styleId="8Char">
    <w:name w:val="标题 8 Char"/>
    <w:basedOn w:val="a0"/>
    <w:link w:val="8"/>
    <w:uiPriority w:val="9"/>
    <w:semiHidden/>
    <w:rsid w:val="000F0287"/>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0F0287"/>
    <w:rPr>
      <w:rFonts w:asciiTheme="majorHAnsi" w:eastAsiaTheme="majorEastAsia" w:hAnsiTheme="majorHAnsi" w:cstheme="majorBidi"/>
      <w:szCs w:val="21"/>
    </w:rPr>
  </w:style>
  <w:style w:type="paragraph" w:styleId="a3">
    <w:name w:val="caption"/>
    <w:basedOn w:val="a"/>
    <w:next w:val="a"/>
    <w:uiPriority w:val="35"/>
    <w:semiHidden/>
    <w:unhideWhenUsed/>
    <w:qFormat/>
    <w:rsid w:val="000F0287"/>
    <w:rPr>
      <w:rFonts w:asciiTheme="majorHAnsi" w:eastAsia="黑体" w:hAnsiTheme="majorHAnsi" w:cstheme="majorBidi"/>
      <w:sz w:val="20"/>
      <w:szCs w:val="20"/>
    </w:rPr>
  </w:style>
  <w:style w:type="paragraph" w:styleId="a4">
    <w:name w:val="Title"/>
    <w:basedOn w:val="a"/>
    <w:next w:val="a"/>
    <w:link w:val="Char"/>
    <w:qFormat/>
    <w:rsid w:val="000F028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rsid w:val="000F0287"/>
    <w:rPr>
      <w:rFonts w:asciiTheme="majorHAnsi" w:eastAsia="宋体" w:hAnsiTheme="majorHAnsi" w:cstheme="majorBidi"/>
      <w:b/>
      <w:bCs/>
      <w:sz w:val="32"/>
      <w:szCs w:val="32"/>
    </w:rPr>
  </w:style>
  <w:style w:type="paragraph" w:styleId="a5">
    <w:name w:val="Subtitle"/>
    <w:basedOn w:val="a"/>
    <w:next w:val="a"/>
    <w:link w:val="Char0"/>
    <w:uiPriority w:val="11"/>
    <w:qFormat/>
    <w:rsid w:val="000F028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0F0287"/>
    <w:rPr>
      <w:rFonts w:asciiTheme="majorHAnsi" w:eastAsia="宋体" w:hAnsiTheme="majorHAnsi" w:cstheme="majorBidi"/>
      <w:b/>
      <w:bCs/>
      <w:kern w:val="28"/>
      <w:sz w:val="32"/>
      <w:szCs w:val="32"/>
    </w:rPr>
  </w:style>
  <w:style w:type="character" w:styleId="a6">
    <w:name w:val="Strong"/>
    <w:uiPriority w:val="22"/>
    <w:qFormat/>
    <w:rsid w:val="000F0287"/>
    <w:rPr>
      <w:b/>
      <w:bCs/>
    </w:rPr>
  </w:style>
  <w:style w:type="character" w:styleId="a7">
    <w:name w:val="Emphasis"/>
    <w:uiPriority w:val="20"/>
    <w:qFormat/>
    <w:rsid w:val="000F0287"/>
    <w:rPr>
      <w:i/>
      <w:iCs/>
    </w:rPr>
  </w:style>
  <w:style w:type="paragraph" w:styleId="a8">
    <w:name w:val="No Spacing"/>
    <w:basedOn w:val="a"/>
    <w:link w:val="Char1"/>
    <w:uiPriority w:val="1"/>
    <w:qFormat/>
    <w:rsid w:val="000F0287"/>
  </w:style>
  <w:style w:type="character" w:customStyle="1" w:styleId="Char1">
    <w:name w:val="无间隔 Char"/>
    <w:basedOn w:val="a0"/>
    <w:link w:val="a8"/>
    <w:uiPriority w:val="1"/>
    <w:rsid w:val="000F0287"/>
  </w:style>
  <w:style w:type="paragraph" w:styleId="a9">
    <w:name w:val="List Paragraph"/>
    <w:basedOn w:val="a"/>
    <w:uiPriority w:val="34"/>
    <w:qFormat/>
    <w:rsid w:val="000F0287"/>
    <w:pPr>
      <w:ind w:firstLineChars="200" w:firstLine="420"/>
    </w:pPr>
  </w:style>
  <w:style w:type="paragraph" w:styleId="aa">
    <w:name w:val="Quote"/>
    <w:basedOn w:val="a"/>
    <w:next w:val="a"/>
    <w:link w:val="Char2"/>
    <w:uiPriority w:val="29"/>
    <w:qFormat/>
    <w:rsid w:val="000F0287"/>
    <w:rPr>
      <w:i/>
      <w:iCs/>
      <w:color w:val="000000" w:themeColor="text1"/>
    </w:rPr>
  </w:style>
  <w:style w:type="character" w:customStyle="1" w:styleId="Char2">
    <w:name w:val="引用 Char"/>
    <w:basedOn w:val="a0"/>
    <w:link w:val="aa"/>
    <w:uiPriority w:val="29"/>
    <w:rsid w:val="000F0287"/>
    <w:rPr>
      <w:i/>
      <w:iCs/>
      <w:color w:val="000000" w:themeColor="text1"/>
    </w:rPr>
  </w:style>
  <w:style w:type="paragraph" w:styleId="ab">
    <w:name w:val="Intense Quote"/>
    <w:basedOn w:val="a"/>
    <w:next w:val="a"/>
    <w:link w:val="Char3"/>
    <w:uiPriority w:val="30"/>
    <w:qFormat/>
    <w:rsid w:val="000F0287"/>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0F0287"/>
    <w:rPr>
      <w:b/>
      <w:bCs/>
      <w:i/>
      <w:iCs/>
      <w:color w:val="4F81BD" w:themeColor="accent1"/>
    </w:rPr>
  </w:style>
  <w:style w:type="character" w:styleId="ac">
    <w:name w:val="Subtle Emphasis"/>
    <w:uiPriority w:val="19"/>
    <w:qFormat/>
    <w:rsid w:val="000F0287"/>
    <w:rPr>
      <w:i/>
      <w:iCs/>
      <w:color w:val="808080" w:themeColor="text1" w:themeTint="7F"/>
    </w:rPr>
  </w:style>
  <w:style w:type="character" w:styleId="ad">
    <w:name w:val="Intense Emphasis"/>
    <w:uiPriority w:val="21"/>
    <w:qFormat/>
    <w:rsid w:val="000F0287"/>
    <w:rPr>
      <w:b/>
      <w:bCs/>
      <w:i/>
      <w:iCs/>
      <w:color w:val="4F81BD" w:themeColor="accent1"/>
    </w:rPr>
  </w:style>
  <w:style w:type="character" w:styleId="ae">
    <w:name w:val="Subtle Reference"/>
    <w:basedOn w:val="a0"/>
    <w:uiPriority w:val="31"/>
    <w:qFormat/>
    <w:rsid w:val="000F0287"/>
    <w:rPr>
      <w:smallCaps/>
      <w:color w:val="C0504D" w:themeColor="accent2"/>
      <w:u w:val="single"/>
    </w:rPr>
  </w:style>
  <w:style w:type="character" w:styleId="af">
    <w:name w:val="Intense Reference"/>
    <w:uiPriority w:val="32"/>
    <w:qFormat/>
    <w:rsid w:val="000F0287"/>
    <w:rPr>
      <w:b/>
      <w:bCs/>
      <w:smallCaps/>
      <w:color w:val="C0504D" w:themeColor="accent2"/>
      <w:spacing w:val="5"/>
      <w:u w:val="single"/>
    </w:rPr>
  </w:style>
  <w:style w:type="character" w:styleId="af0">
    <w:name w:val="Book Title"/>
    <w:uiPriority w:val="33"/>
    <w:qFormat/>
    <w:rsid w:val="000F0287"/>
    <w:rPr>
      <w:b/>
      <w:bCs/>
      <w:smallCaps/>
      <w:spacing w:val="5"/>
    </w:rPr>
  </w:style>
  <w:style w:type="paragraph" w:styleId="TOC">
    <w:name w:val="TOC Heading"/>
    <w:basedOn w:val="1"/>
    <w:next w:val="a"/>
    <w:uiPriority w:val="39"/>
    <w:semiHidden/>
    <w:unhideWhenUsed/>
    <w:qFormat/>
    <w:rsid w:val="000F0287"/>
    <w:pPr>
      <w:outlineLvl w:val="9"/>
    </w:pPr>
  </w:style>
  <w:style w:type="paragraph" w:styleId="af1">
    <w:name w:val="Normal (Web)"/>
    <w:basedOn w:val="a"/>
    <w:uiPriority w:val="99"/>
    <w:semiHidden/>
    <w:unhideWhenUsed/>
    <w:rsid w:val="00E561C6"/>
    <w:pPr>
      <w:widowControl/>
      <w:spacing w:before="100" w:beforeAutospacing="1" w:after="100" w:afterAutospacing="1"/>
      <w:jc w:val="left"/>
    </w:pPr>
    <w:rPr>
      <w:rFonts w:ascii="宋体" w:eastAsia="宋体" w:hAnsi="宋体" w:cs="宋体"/>
      <w:kern w:val="0"/>
      <w:sz w:val="24"/>
      <w:szCs w:val="24"/>
    </w:rPr>
  </w:style>
  <w:style w:type="paragraph" w:styleId="af2">
    <w:name w:val="header"/>
    <w:basedOn w:val="a"/>
    <w:link w:val="Char4"/>
    <w:uiPriority w:val="99"/>
    <w:unhideWhenUsed/>
    <w:rsid w:val="0080173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rsid w:val="0080173A"/>
    <w:rPr>
      <w:sz w:val="18"/>
      <w:szCs w:val="18"/>
    </w:rPr>
  </w:style>
  <w:style w:type="paragraph" w:styleId="af3">
    <w:name w:val="footer"/>
    <w:basedOn w:val="a"/>
    <w:link w:val="Char5"/>
    <w:uiPriority w:val="99"/>
    <w:unhideWhenUsed/>
    <w:rsid w:val="0080173A"/>
    <w:pPr>
      <w:tabs>
        <w:tab w:val="center" w:pos="4153"/>
        <w:tab w:val="right" w:pos="8306"/>
      </w:tabs>
      <w:snapToGrid w:val="0"/>
      <w:jc w:val="left"/>
    </w:pPr>
    <w:rPr>
      <w:sz w:val="18"/>
      <w:szCs w:val="18"/>
    </w:rPr>
  </w:style>
  <w:style w:type="character" w:customStyle="1" w:styleId="Char5">
    <w:name w:val="页脚 Char"/>
    <w:basedOn w:val="a0"/>
    <w:link w:val="af3"/>
    <w:uiPriority w:val="99"/>
    <w:rsid w:val="008017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20496">
      <w:bodyDiv w:val="1"/>
      <w:marLeft w:val="0"/>
      <w:marRight w:val="0"/>
      <w:marTop w:val="0"/>
      <w:marBottom w:val="0"/>
      <w:divBdr>
        <w:top w:val="none" w:sz="0" w:space="0" w:color="auto"/>
        <w:left w:val="none" w:sz="0" w:space="0" w:color="auto"/>
        <w:bottom w:val="none" w:sz="0" w:space="0" w:color="auto"/>
        <w:right w:val="none" w:sz="0" w:space="0" w:color="auto"/>
      </w:divBdr>
    </w:div>
    <w:div w:id="599678158">
      <w:bodyDiv w:val="1"/>
      <w:marLeft w:val="0"/>
      <w:marRight w:val="0"/>
      <w:marTop w:val="0"/>
      <w:marBottom w:val="0"/>
      <w:divBdr>
        <w:top w:val="none" w:sz="0" w:space="0" w:color="auto"/>
        <w:left w:val="none" w:sz="0" w:space="0" w:color="auto"/>
        <w:bottom w:val="none" w:sz="0" w:space="0" w:color="auto"/>
        <w:right w:val="none" w:sz="0" w:space="0" w:color="auto"/>
      </w:divBdr>
    </w:div>
    <w:div w:id="859708170">
      <w:bodyDiv w:val="1"/>
      <w:marLeft w:val="0"/>
      <w:marRight w:val="0"/>
      <w:marTop w:val="0"/>
      <w:marBottom w:val="0"/>
      <w:divBdr>
        <w:top w:val="none" w:sz="0" w:space="0" w:color="auto"/>
        <w:left w:val="none" w:sz="0" w:space="0" w:color="auto"/>
        <w:bottom w:val="none" w:sz="0" w:space="0" w:color="auto"/>
        <w:right w:val="none" w:sz="0" w:space="0" w:color="auto"/>
      </w:divBdr>
    </w:div>
    <w:div w:id="1166943093">
      <w:bodyDiv w:val="1"/>
      <w:marLeft w:val="0"/>
      <w:marRight w:val="0"/>
      <w:marTop w:val="0"/>
      <w:marBottom w:val="0"/>
      <w:divBdr>
        <w:top w:val="none" w:sz="0" w:space="0" w:color="auto"/>
        <w:left w:val="none" w:sz="0" w:space="0" w:color="auto"/>
        <w:bottom w:val="none" w:sz="0" w:space="0" w:color="auto"/>
        <w:right w:val="none" w:sz="0" w:space="0" w:color="auto"/>
      </w:divBdr>
    </w:div>
    <w:div w:id="1810854841">
      <w:bodyDiv w:val="1"/>
      <w:marLeft w:val="0"/>
      <w:marRight w:val="0"/>
      <w:marTop w:val="0"/>
      <w:marBottom w:val="0"/>
      <w:divBdr>
        <w:top w:val="none" w:sz="0" w:space="0" w:color="auto"/>
        <w:left w:val="none" w:sz="0" w:space="0" w:color="auto"/>
        <w:bottom w:val="none" w:sz="0" w:space="0" w:color="auto"/>
        <w:right w:val="none" w:sz="0" w:space="0" w:color="auto"/>
      </w:divBdr>
    </w:div>
    <w:div w:id="185764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dc:creator>
  <cp:lastModifiedBy>jj</cp:lastModifiedBy>
  <cp:revision>2</cp:revision>
  <dcterms:created xsi:type="dcterms:W3CDTF">2016-03-16T03:01:00Z</dcterms:created>
  <dcterms:modified xsi:type="dcterms:W3CDTF">2016-05-03T15:09:00Z</dcterms:modified>
</cp:coreProperties>
</file>